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6E" w:rsidRPr="00B1021F" w:rsidRDefault="006E3126" w:rsidP="00C4224D">
      <w:pPr>
        <w:spacing w:after="0" w:line="240" w:lineRule="auto"/>
        <w:jc w:val="both"/>
        <w:rPr>
          <w:rFonts w:cstheme="minorHAnsi"/>
          <w:b/>
          <w:lang w:val="es-ES"/>
        </w:rPr>
      </w:pPr>
      <w:r>
        <w:rPr>
          <w:rFonts w:cstheme="minorHAnsi"/>
          <w:b/>
          <w:lang w:val="es-ES"/>
        </w:rPr>
        <w:t xml:space="preserve">MINUTA DE LOS CONTENIDOS DEL </w:t>
      </w:r>
      <w:r w:rsidR="0009446E" w:rsidRPr="00B1021F">
        <w:rPr>
          <w:rFonts w:cstheme="minorHAnsi"/>
          <w:b/>
          <w:lang w:val="es-ES"/>
        </w:rPr>
        <w:t xml:space="preserve">PROYECTO DE </w:t>
      </w:r>
      <w:r w:rsidR="0009446E">
        <w:rPr>
          <w:rFonts w:cstheme="minorHAnsi"/>
          <w:b/>
          <w:lang w:val="es-ES"/>
        </w:rPr>
        <w:t>LEY QUE MODIFICA LA LEY ORGÁNICA CONSTITUCIONAL DEL CONGRESO NACIONAL Y OTROS CUERPOS LEGALES EN LO RELATIVO A PROBIDAD Y TRANSPARENCIA</w:t>
      </w:r>
    </w:p>
    <w:p w:rsidR="0009446E" w:rsidRDefault="0009446E" w:rsidP="00C4224D">
      <w:pPr>
        <w:spacing w:after="0" w:line="240" w:lineRule="auto"/>
        <w:ind w:right="-28"/>
        <w:jc w:val="both"/>
        <w:rPr>
          <w:rFonts w:cstheme="minorHAnsi"/>
        </w:rPr>
      </w:pPr>
    </w:p>
    <w:p w:rsidR="00C4224D" w:rsidRDefault="00C4224D" w:rsidP="0009446E">
      <w:pPr>
        <w:spacing w:after="0" w:line="240" w:lineRule="auto"/>
        <w:ind w:right="-28"/>
        <w:jc w:val="both"/>
        <w:rPr>
          <w:rFonts w:cstheme="minorHAnsi"/>
        </w:rPr>
      </w:pPr>
    </w:p>
    <w:p w:rsidR="00AF6F86" w:rsidRDefault="006E3126" w:rsidP="00AF6F86">
      <w:pPr>
        <w:spacing w:after="0" w:line="240" w:lineRule="auto"/>
        <w:jc w:val="both"/>
        <w:rPr>
          <w:rFonts w:eastAsiaTheme="majorEastAsia" w:cstheme="minorHAnsi"/>
          <w:b/>
          <w:bCs/>
        </w:rPr>
      </w:pPr>
      <w:r>
        <w:rPr>
          <w:rFonts w:eastAsiaTheme="majorEastAsia" w:cstheme="minorHAnsi"/>
          <w:b/>
          <w:bCs/>
        </w:rPr>
        <w:t>Concepto y Objetivos:</w:t>
      </w:r>
    </w:p>
    <w:p w:rsidR="00AF6F86" w:rsidRDefault="00AF6F86" w:rsidP="00AF6F86">
      <w:pPr>
        <w:spacing w:after="0" w:line="240" w:lineRule="auto"/>
        <w:jc w:val="both"/>
        <w:rPr>
          <w:rFonts w:eastAsiaTheme="majorEastAsia" w:cstheme="minorHAnsi"/>
          <w:bCs/>
        </w:rPr>
      </w:pPr>
      <w:r>
        <w:rPr>
          <w:rFonts w:eastAsiaTheme="majorEastAsia" w:cstheme="minorHAnsi"/>
          <w:b/>
          <w:bCs/>
        </w:rPr>
        <w:tab/>
      </w:r>
      <w:r>
        <w:rPr>
          <w:rFonts w:eastAsiaTheme="majorEastAsia" w:cstheme="minorHAnsi"/>
          <w:b/>
          <w:bCs/>
        </w:rPr>
        <w:tab/>
      </w:r>
      <w:r>
        <w:rPr>
          <w:rFonts w:eastAsiaTheme="majorEastAsia" w:cstheme="minorHAnsi"/>
          <w:b/>
          <w:bCs/>
        </w:rPr>
        <w:tab/>
      </w:r>
      <w:r w:rsidR="00A560D7">
        <w:rPr>
          <w:rFonts w:eastAsiaTheme="majorEastAsia" w:cstheme="minorHAnsi"/>
          <w:b/>
          <w:bCs/>
        </w:rPr>
        <w:tab/>
      </w:r>
      <w:r w:rsidR="00A560D7">
        <w:rPr>
          <w:rFonts w:eastAsiaTheme="majorEastAsia" w:cstheme="minorHAnsi"/>
          <w:b/>
          <w:bCs/>
        </w:rPr>
        <w:tab/>
      </w:r>
      <w:r w:rsidR="006E3126">
        <w:rPr>
          <w:rFonts w:eastAsiaTheme="majorEastAsia" w:cstheme="minorHAnsi"/>
          <w:bCs/>
        </w:rPr>
        <w:t>Esta moción busca que el</w:t>
      </w:r>
      <w:r w:rsidRPr="00874A9D">
        <w:rPr>
          <w:rFonts w:eastAsiaTheme="majorEastAsia" w:cstheme="minorHAnsi"/>
          <w:bCs/>
        </w:rPr>
        <w:t xml:space="preserve"> sistema de probida</w:t>
      </w:r>
      <w:r>
        <w:rPr>
          <w:rFonts w:eastAsiaTheme="majorEastAsia" w:cstheme="minorHAnsi"/>
          <w:bCs/>
        </w:rPr>
        <w:t>d y tran</w:t>
      </w:r>
      <w:r w:rsidR="006E3126">
        <w:rPr>
          <w:rFonts w:eastAsiaTheme="majorEastAsia" w:cstheme="minorHAnsi"/>
          <w:bCs/>
        </w:rPr>
        <w:t>sparencia esté</w:t>
      </w:r>
      <w:r w:rsidR="00CE271C">
        <w:rPr>
          <w:rFonts w:eastAsiaTheme="majorEastAsia" w:cstheme="minorHAnsi"/>
          <w:bCs/>
        </w:rPr>
        <w:t xml:space="preserve"> constituido por el</w:t>
      </w:r>
      <w:r w:rsidRPr="00874A9D">
        <w:rPr>
          <w:rFonts w:eastAsiaTheme="majorEastAsia" w:cstheme="minorHAnsi"/>
          <w:bCs/>
        </w:rPr>
        <w:t xml:space="preserve"> conjunto de medidas de diferente rango normativo, incluidas las de orden simplemente administrativo, </w:t>
      </w:r>
      <w:r w:rsidR="00CE271C">
        <w:rPr>
          <w:rFonts w:eastAsiaTheme="majorEastAsia" w:cstheme="minorHAnsi"/>
          <w:bCs/>
        </w:rPr>
        <w:t>que se relacionan</w:t>
      </w:r>
      <w:r w:rsidRPr="00874A9D">
        <w:rPr>
          <w:rFonts w:eastAsiaTheme="majorEastAsia" w:cstheme="minorHAnsi"/>
          <w:bCs/>
        </w:rPr>
        <w:t xml:space="preserve"> con los principios generales y las reglas específicas que fijan las c</w:t>
      </w:r>
      <w:r>
        <w:rPr>
          <w:rFonts w:eastAsiaTheme="majorEastAsia" w:cstheme="minorHAnsi"/>
          <w:bCs/>
        </w:rPr>
        <w:t xml:space="preserve">onductas debidas </w:t>
      </w:r>
      <w:r w:rsidR="00CE271C">
        <w:rPr>
          <w:rFonts w:eastAsiaTheme="majorEastAsia" w:cstheme="minorHAnsi"/>
          <w:bCs/>
        </w:rPr>
        <w:t xml:space="preserve">en esas materias; con </w:t>
      </w:r>
      <w:r w:rsidRPr="00874A9D">
        <w:rPr>
          <w:rFonts w:eastAsiaTheme="majorEastAsia" w:cstheme="minorHAnsi"/>
          <w:bCs/>
        </w:rPr>
        <w:t>la organización, los procedimientos y las sanciones d</w:t>
      </w:r>
      <w:r>
        <w:rPr>
          <w:rFonts w:eastAsiaTheme="majorEastAsia" w:cstheme="minorHAnsi"/>
          <w:bCs/>
        </w:rPr>
        <w:t xml:space="preserve">estinados a asegurar su respeto; </w:t>
      </w:r>
      <w:r w:rsidR="00CE271C">
        <w:rPr>
          <w:rFonts w:eastAsiaTheme="majorEastAsia" w:cstheme="minorHAnsi"/>
          <w:bCs/>
        </w:rPr>
        <w:t xml:space="preserve">con </w:t>
      </w:r>
      <w:r w:rsidRPr="00874A9D">
        <w:rPr>
          <w:rFonts w:eastAsiaTheme="majorEastAsia" w:cstheme="minorHAnsi"/>
          <w:bCs/>
        </w:rPr>
        <w:t>el apoyo estable co</w:t>
      </w:r>
      <w:r>
        <w:rPr>
          <w:rFonts w:eastAsiaTheme="majorEastAsia" w:cstheme="minorHAnsi"/>
          <w:bCs/>
        </w:rPr>
        <w:t xml:space="preserve">n que se pretende </w:t>
      </w:r>
      <w:r w:rsidRPr="00874A9D">
        <w:rPr>
          <w:rFonts w:eastAsiaTheme="majorEastAsia" w:cstheme="minorHAnsi"/>
          <w:bCs/>
        </w:rPr>
        <w:t>orientar sobre su aplicación;</w:t>
      </w:r>
      <w:r>
        <w:rPr>
          <w:rFonts w:eastAsiaTheme="majorEastAsia" w:cstheme="minorHAnsi"/>
          <w:bCs/>
        </w:rPr>
        <w:t xml:space="preserve"> y</w:t>
      </w:r>
      <w:r w:rsidRPr="00874A9D">
        <w:rPr>
          <w:rFonts w:eastAsiaTheme="majorEastAsia" w:cstheme="minorHAnsi"/>
          <w:bCs/>
        </w:rPr>
        <w:t xml:space="preserve"> </w:t>
      </w:r>
      <w:r w:rsidR="00CE271C">
        <w:rPr>
          <w:rFonts w:eastAsiaTheme="majorEastAsia" w:cstheme="minorHAnsi"/>
          <w:bCs/>
        </w:rPr>
        <w:t xml:space="preserve">con </w:t>
      </w:r>
      <w:r w:rsidRPr="00874A9D">
        <w:rPr>
          <w:rFonts w:eastAsiaTheme="majorEastAsia" w:cstheme="minorHAnsi"/>
          <w:bCs/>
        </w:rPr>
        <w:t xml:space="preserve">el </w:t>
      </w:r>
      <w:r w:rsidR="00CE271C">
        <w:rPr>
          <w:rFonts w:eastAsiaTheme="majorEastAsia" w:cstheme="minorHAnsi"/>
          <w:bCs/>
        </w:rPr>
        <w:t xml:space="preserve">seguimiento o </w:t>
      </w:r>
      <w:r w:rsidRPr="00874A9D">
        <w:rPr>
          <w:rFonts w:eastAsiaTheme="majorEastAsia" w:cstheme="minorHAnsi"/>
          <w:bCs/>
        </w:rPr>
        <w:t>monitoreo</w:t>
      </w:r>
      <w:r>
        <w:rPr>
          <w:rFonts w:eastAsiaTheme="majorEastAsia" w:cstheme="minorHAnsi"/>
          <w:bCs/>
        </w:rPr>
        <w:t xml:space="preserve"> destinado a verificar su cumplimiento.</w:t>
      </w:r>
    </w:p>
    <w:p w:rsidR="00AF6F86" w:rsidRDefault="00AF6F86" w:rsidP="00AF6F86">
      <w:pPr>
        <w:spacing w:after="0" w:line="240" w:lineRule="auto"/>
        <w:jc w:val="both"/>
        <w:rPr>
          <w:rFonts w:eastAsiaTheme="majorEastAsia" w:cstheme="minorHAnsi"/>
          <w:bCs/>
        </w:rPr>
      </w:pPr>
    </w:p>
    <w:p w:rsidR="007D5268" w:rsidRDefault="00AF6F86" w:rsidP="00AF6F86">
      <w:pPr>
        <w:spacing w:after="0" w:line="240" w:lineRule="auto"/>
        <w:jc w:val="both"/>
        <w:rPr>
          <w:rFonts w:eastAsiaTheme="majorEastAsia" w:cstheme="minorHAnsi"/>
          <w:b/>
          <w:bCs/>
        </w:rPr>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sidR="006E3126">
        <w:rPr>
          <w:rFonts w:cstheme="minorHAnsi"/>
        </w:rPr>
        <w:t>Así</w:t>
      </w:r>
      <w:r>
        <w:rPr>
          <w:rFonts w:cstheme="minorHAnsi"/>
        </w:rPr>
        <w:t xml:space="preserve">, existen diversos temas que parece conveniente abordar en relación con </w:t>
      </w:r>
      <w:r w:rsidR="0039110B">
        <w:rPr>
          <w:rFonts w:cstheme="minorHAnsi"/>
        </w:rPr>
        <w:t xml:space="preserve">la </w:t>
      </w:r>
      <w:r>
        <w:rPr>
          <w:rFonts w:cstheme="minorHAnsi"/>
        </w:rPr>
        <w:t xml:space="preserve">probidad y transparencia, </w:t>
      </w:r>
      <w:r w:rsidR="00C405C5">
        <w:rPr>
          <w:rFonts w:cstheme="minorHAnsi"/>
        </w:rPr>
        <w:t>que</w:t>
      </w:r>
      <w:r>
        <w:rPr>
          <w:rFonts w:cstheme="minorHAnsi"/>
        </w:rPr>
        <w:t xml:space="preserve"> giran alrededor de </w:t>
      </w:r>
      <w:r w:rsidR="007D5268">
        <w:rPr>
          <w:rFonts w:cstheme="minorHAnsi"/>
        </w:rPr>
        <w:t xml:space="preserve">dos principales núcleos de contenidos: un </w:t>
      </w:r>
      <w:r w:rsidR="007D5268" w:rsidRPr="007D5268">
        <w:rPr>
          <w:rFonts w:cstheme="minorHAnsi"/>
        </w:rPr>
        <w:t>perfe</w:t>
      </w:r>
      <w:r w:rsidRPr="007D5268">
        <w:rPr>
          <w:rFonts w:eastAsiaTheme="majorEastAsia" w:cstheme="minorHAnsi"/>
          <w:bCs/>
        </w:rPr>
        <w:t xml:space="preserve">ccionamiento  normativo </w:t>
      </w:r>
      <w:r w:rsidR="007D5268" w:rsidRPr="007D5268">
        <w:rPr>
          <w:rFonts w:eastAsiaTheme="majorEastAsia" w:cstheme="minorHAnsi"/>
          <w:bCs/>
        </w:rPr>
        <w:t>y otro de carácter orgánico y procesal.</w:t>
      </w:r>
    </w:p>
    <w:p w:rsidR="00AF6F86" w:rsidRDefault="007D5268" w:rsidP="00AF6F86">
      <w:pPr>
        <w:spacing w:after="0" w:line="240" w:lineRule="auto"/>
        <w:jc w:val="both"/>
        <w:rPr>
          <w:rFonts w:eastAsiaTheme="majorEastAsia" w:cstheme="minorHAnsi"/>
          <w:bCs/>
        </w:rPr>
      </w:pPr>
      <w:r>
        <w:rPr>
          <w:rFonts w:eastAsiaTheme="majorEastAsia" w:cstheme="minorHAnsi"/>
          <w:bCs/>
        </w:rPr>
        <w:t xml:space="preserve"> </w:t>
      </w:r>
    </w:p>
    <w:p w:rsidR="0039110B" w:rsidRDefault="0039110B" w:rsidP="00AF6F86">
      <w:pPr>
        <w:spacing w:after="0" w:line="240" w:lineRule="auto"/>
        <w:ind w:right="-28"/>
        <w:jc w:val="both"/>
        <w:rPr>
          <w:rFonts w:cstheme="minorHAnsi"/>
          <w:b/>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sidRPr="00847FC2">
        <w:rPr>
          <w:rFonts w:cstheme="minorHAnsi"/>
          <w:b/>
        </w:rPr>
        <w:t>I.- Perfeccionamiento normativo</w:t>
      </w:r>
    </w:p>
    <w:p w:rsidR="0039110B" w:rsidRDefault="0039110B" w:rsidP="00AF6F86">
      <w:pPr>
        <w:spacing w:after="0" w:line="240" w:lineRule="auto"/>
        <w:ind w:right="-28"/>
        <w:jc w:val="both"/>
        <w:rPr>
          <w:rFonts w:cstheme="minorHAnsi"/>
          <w:b/>
        </w:rPr>
      </w:pPr>
    </w:p>
    <w:p w:rsidR="00AF6F86" w:rsidRDefault="00AF6F86" w:rsidP="00AF6F86">
      <w:pPr>
        <w:spacing w:after="0" w:line="240" w:lineRule="auto"/>
        <w:ind w:right="-28"/>
        <w:jc w:val="both"/>
        <w:rPr>
          <w:rFonts w:cstheme="minorHAnsi"/>
        </w:rPr>
      </w:pPr>
      <w:r>
        <w:rPr>
          <w:rFonts w:cstheme="minorHAnsi"/>
          <w:b/>
        </w:rPr>
        <w:tab/>
      </w:r>
      <w:r>
        <w:rPr>
          <w:rFonts w:cstheme="minorHAnsi"/>
          <w:b/>
        </w:rPr>
        <w:tab/>
      </w:r>
      <w:r>
        <w:rPr>
          <w:rFonts w:cstheme="minorHAnsi"/>
          <w:b/>
        </w:rPr>
        <w:tab/>
      </w:r>
      <w:r w:rsidR="00A560D7">
        <w:rPr>
          <w:rFonts w:cstheme="minorHAnsi"/>
          <w:b/>
        </w:rPr>
        <w:tab/>
      </w:r>
      <w:r w:rsidR="00A560D7">
        <w:rPr>
          <w:rFonts w:cstheme="minorHAnsi"/>
          <w:b/>
        </w:rPr>
        <w:tab/>
      </w:r>
      <w:r>
        <w:rPr>
          <w:rFonts w:cstheme="minorHAnsi"/>
        </w:rPr>
        <w:t>Resulta indispensable</w:t>
      </w:r>
      <w:r w:rsidRPr="00191E4F">
        <w:rPr>
          <w:rFonts w:cstheme="minorHAnsi"/>
        </w:rPr>
        <w:t xml:space="preserve"> revisar</w:t>
      </w:r>
      <w:r>
        <w:rPr>
          <w:rFonts w:cstheme="minorHAnsi"/>
        </w:rPr>
        <w:t xml:space="preserve"> las disposiciones vigentes, para elevar los estándares exigidos a la conducta parlamentaria, pero, al mismo tiempo, precisar con claridad el comportamiento deseable, de forma de evitar interpretaciones y ofrecer certeza tanto a quien realiza una acción u omisión como a quien desee evaluarla.</w:t>
      </w:r>
      <w:r w:rsidRPr="00191E4F">
        <w:rPr>
          <w:rFonts w:cstheme="minorHAnsi"/>
        </w:rPr>
        <w:t xml:space="preserve"> </w:t>
      </w:r>
      <w:r w:rsidR="00567F66">
        <w:rPr>
          <w:rFonts w:cstheme="minorHAnsi"/>
        </w:rPr>
        <w:t>N</w:t>
      </w:r>
      <w:r w:rsidR="00567F66">
        <w:rPr>
          <w:rFonts w:cstheme="minorHAnsi"/>
        </w:rPr>
        <w:t xml:space="preserve">o basta con </w:t>
      </w:r>
      <w:r w:rsidR="00567F66" w:rsidRPr="00874A9D">
        <w:rPr>
          <w:rFonts w:cstheme="minorHAnsi"/>
          <w:lang w:val="es-ES"/>
        </w:rPr>
        <w:t>reprocha</w:t>
      </w:r>
      <w:r w:rsidR="00567F66">
        <w:rPr>
          <w:rFonts w:cstheme="minorHAnsi"/>
          <w:lang w:val="es-ES"/>
        </w:rPr>
        <w:t>r</w:t>
      </w:r>
      <w:r w:rsidR="00567F66" w:rsidRPr="00874A9D">
        <w:rPr>
          <w:rFonts w:cstheme="minorHAnsi"/>
          <w:lang w:val="es-ES"/>
        </w:rPr>
        <w:t xml:space="preserve"> las conductas</w:t>
      </w:r>
      <w:r w:rsidR="00567F66">
        <w:rPr>
          <w:rFonts w:cstheme="minorHAnsi"/>
          <w:lang w:val="es-ES"/>
        </w:rPr>
        <w:t xml:space="preserve"> que se estimen</w:t>
      </w:r>
      <w:r w:rsidR="00567F66" w:rsidRPr="00874A9D">
        <w:rPr>
          <w:rFonts w:cstheme="minorHAnsi"/>
          <w:lang w:val="es-ES"/>
        </w:rPr>
        <w:t xml:space="preserve"> distanciadas de la probida</w:t>
      </w:r>
      <w:r w:rsidR="00567F66">
        <w:rPr>
          <w:rFonts w:cstheme="minorHAnsi"/>
          <w:lang w:val="es-ES"/>
        </w:rPr>
        <w:t>d y la transparencia, sin describir a</w:t>
      </w:r>
      <w:r w:rsidR="00567F66" w:rsidRPr="00874A9D">
        <w:rPr>
          <w:rFonts w:cstheme="minorHAnsi"/>
          <w:lang w:val="es-ES"/>
        </w:rPr>
        <w:t xml:space="preserve">l </w:t>
      </w:r>
      <w:r w:rsidR="00567F66">
        <w:rPr>
          <w:rFonts w:cstheme="minorHAnsi"/>
          <w:lang w:val="es-ES"/>
        </w:rPr>
        <w:t xml:space="preserve">menos su </w:t>
      </w:r>
      <w:r w:rsidR="00567F66" w:rsidRPr="00874A9D">
        <w:rPr>
          <w:rFonts w:cstheme="minorHAnsi"/>
          <w:lang w:val="es-ES"/>
        </w:rPr>
        <w:t>nú</w:t>
      </w:r>
      <w:r w:rsidR="00567F66">
        <w:rPr>
          <w:rFonts w:cstheme="minorHAnsi"/>
          <w:lang w:val="es-ES"/>
        </w:rPr>
        <w:t xml:space="preserve">cleo esencial </w:t>
      </w:r>
      <w:r w:rsidR="00567F66" w:rsidRPr="00874A9D">
        <w:rPr>
          <w:rFonts w:cstheme="minorHAnsi"/>
          <w:lang w:val="es-ES"/>
        </w:rPr>
        <w:t>con la nitidez suficiente que permita configurarlas antes de entrar a examinar la conformidad o desarmonía entre tales principios y los actos realiz</w:t>
      </w:r>
      <w:r w:rsidR="00567F66">
        <w:rPr>
          <w:rFonts w:cstheme="minorHAnsi"/>
          <w:lang w:val="es-ES"/>
        </w:rPr>
        <w:t>ados en un caso concreto</w:t>
      </w:r>
      <w:r w:rsidR="00567F66" w:rsidRPr="00874A9D">
        <w:rPr>
          <w:rFonts w:cstheme="minorHAnsi"/>
          <w:lang w:val="es-ES"/>
        </w:rPr>
        <w:t>.</w:t>
      </w:r>
    </w:p>
    <w:p w:rsidR="00847FC2" w:rsidRDefault="00847FC2" w:rsidP="00AF6F86">
      <w:pPr>
        <w:spacing w:after="0" w:line="240" w:lineRule="auto"/>
        <w:ind w:right="-28"/>
        <w:jc w:val="both"/>
        <w:rPr>
          <w:rFonts w:cstheme="minorHAnsi"/>
        </w:rPr>
      </w:pPr>
    </w:p>
    <w:p w:rsidR="007D5268" w:rsidRDefault="007D5268" w:rsidP="00AF6F86">
      <w:pPr>
        <w:spacing w:after="0" w:line="240" w:lineRule="auto"/>
        <w:ind w:right="-28"/>
        <w:jc w:val="both"/>
        <w:rPr>
          <w:rFonts w:cstheme="minorHAnsi"/>
        </w:rPr>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Pr>
          <w:rFonts w:cstheme="minorHAnsi"/>
        </w:rPr>
        <w:t>Se proponen, sobre el particular, las ocho ideas siguientes:</w:t>
      </w:r>
    </w:p>
    <w:p w:rsidR="007D5268" w:rsidRDefault="007D5268" w:rsidP="00AF6F86">
      <w:pPr>
        <w:spacing w:after="0" w:line="240" w:lineRule="auto"/>
        <w:ind w:right="-28"/>
        <w:jc w:val="both"/>
        <w:rPr>
          <w:rFonts w:cstheme="minorHAnsi"/>
        </w:rPr>
      </w:pPr>
    </w:p>
    <w:p w:rsidR="00AF6F86" w:rsidRDefault="00AF6F86" w:rsidP="00AF6F86">
      <w:pPr>
        <w:spacing w:after="0" w:line="240" w:lineRule="auto"/>
        <w:ind w:right="-28"/>
        <w:jc w:val="both"/>
        <w:rPr>
          <w:b/>
        </w:rPr>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sidR="00C405C5" w:rsidRPr="00A82C4F">
        <w:rPr>
          <w:rFonts w:cstheme="minorHAnsi"/>
          <w:b/>
        </w:rPr>
        <w:t>1</w:t>
      </w:r>
      <w:r w:rsidRPr="00A82C4F">
        <w:rPr>
          <w:b/>
        </w:rPr>
        <w:t>. Precisar el impedimento que afecta a los parlamentarios para promover y votar determinados</w:t>
      </w:r>
      <w:r w:rsidRPr="00E819A3">
        <w:rPr>
          <w:b/>
        </w:rPr>
        <w:t xml:space="preserve"> asuntos.</w:t>
      </w:r>
      <w:r>
        <w:rPr>
          <w:b/>
        </w:rPr>
        <w:t xml:space="preserve"> </w:t>
      </w:r>
    </w:p>
    <w:p w:rsidR="00AF6F86" w:rsidRDefault="00AF6F86" w:rsidP="00AF6F86">
      <w:pPr>
        <w:spacing w:after="0" w:line="240" w:lineRule="auto"/>
        <w:ind w:right="-28"/>
        <w:jc w:val="both"/>
        <w:rPr>
          <w:b/>
        </w:rPr>
      </w:pPr>
    </w:p>
    <w:p w:rsidR="00AF6F86" w:rsidRPr="004624DC" w:rsidRDefault="007D5268" w:rsidP="007D5268">
      <w:pPr>
        <w:tabs>
          <w:tab w:val="left" w:pos="2835"/>
        </w:tabs>
        <w:spacing w:after="0" w:line="240" w:lineRule="auto"/>
        <w:jc w:val="both"/>
      </w:pPr>
      <w:r>
        <w:t xml:space="preserve"> </w:t>
      </w:r>
      <w:r>
        <w:tab/>
      </w:r>
      <w:r w:rsidR="00A560D7">
        <w:tab/>
      </w:r>
      <w:r w:rsidR="00AF6F86">
        <w:t>La experiencia ha demostrado</w:t>
      </w:r>
      <w:r w:rsidR="0039110B">
        <w:t>, por una parte,</w:t>
      </w:r>
      <w:r w:rsidR="00AF6F86">
        <w:t xml:space="preserve"> la insuficiencia del </w:t>
      </w:r>
      <w:r>
        <w:t>actual a</w:t>
      </w:r>
      <w:r w:rsidRPr="001019F9">
        <w:t>rtículo 5º B de la Ley Nº 18.918, Orgánica Const</w:t>
      </w:r>
      <w:r>
        <w:t xml:space="preserve">itucional del Congreso Nacional </w:t>
      </w:r>
      <w:r w:rsidR="00AF6F86">
        <w:rPr>
          <w:rFonts w:cstheme="minorHAnsi"/>
        </w:rPr>
        <w:t>para hacerse cargo de la concepción actual que se tiene sobre el respeto al principio de probidad en lo que concie</w:t>
      </w:r>
      <w:r w:rsidR="0039110B">
        <w:rPr>
          <w:rFonts w:cstheme="minorHAnsi"/>
        </w:rPr>
        <w:t xml:space="preserve">rne a la conducta parlamentaria, por otra parte, </w:t>
      </w:r>
      <w:r w:rsidR="00AF6F86">
        <w:rPr>
          <w:rFonts w:cstheme="minorHAnsi"/>
        </w:rPr>
        <w:t xml:space="preserve"> su falta de armonía con los diversos mecanismos de resguardo que contempla </w:t>
      </w:r>
      <w:r w:rsidR="0039110B">
        <w:rPr>
          <w:rFonts w:cstheme="minorHAnsi"/>
        </w:rPr>
        <w:t xml:space="preserve">al respecto </w:t>
      </w:r>
      <w:r w:rsidR="00AF6F86">
        <w:rPr>
          <w:rFonts w:cstheme="minorHAnsi"/>
        </w:rPr>
        <w:t>el artículo 8° de la Carta Fundamental y</w:t>
      </w:r>
      <w:r w:rsidR="0039110B">
        <w:rPr>
          <w:rFonts w:cstheme="minorHAnsi"/>
        </w:rPr>
        <w:t xml:space="preserve">, además, </w:t>
      </w:r>
      <w:r w:rsidR="00AF6F86">
        <w:rPr>
          <w:rFonts w:cstheme="minorHAnsi"/>
        </w:rPr>
        <w:t xml:space="preserve"> la conveniencia de contar con procedimientos expeditos para resolver las cuestiones que se susciten sobre el particular. </w:t>
      </w:r>
    </w:p>
    <w:p w:rsidR="00AF6F86" w:rsidRDefault="00AF6F86" w:rsidP="00AF6F86">
      <w:pPr>
        <w:pStyle w:val="indicacin"/>
        <w:tabs>
          <w:tab w:val="clear" w:pos="1418"/>
          <w:tab w:val="left" w:pos="2835"/>
        </w:tabs>
        <w:ind w:left="0" w:firstLine="0"/>
        <w:rPr>
          <w:rFonts w:asciiTheme="minorHAnsi" w:hAnsiTheme="minorHAnsi" w:cstheme="minorHAnsi"/>
          <w:sz w:val="22"/>
          <w:szCs w:val="22"/>
        </w:rPr>
      </w:pPr>
    </w:p>
    <w:p w:rsidR="00AF6F86" w:rsidRPr="003F329C" w:rsidRDefault="00AF6F86" w:rsidP="00AF6F86">
      <w:pPr>
        <w:pStyle w:val="indicacin"/>
        <w:tabs>
          <w:tab w:val="clear" w:pos="1418"/>
          <w:tab w:val="left" w:pos="2835"/>
        </w:tabs>
        <w:ind w:left="0" w:firstLine="0"/>
        <w:rPr>
          <w:rFonts w:asciiTheme="minorHAnsi" w:hAnsiTheme="minorHAnsi"/>
          <w:sz w:val="22"/>
          <w:szCs w:val="22"/>
        </w:rPr>
      </w:pPr>
      <w:r w:rsidRPr="003F329C">
        <w:rPr>
          <w:rFonts w:asciiTheme="minorHAnsi" w:hAnsiTheme="minorHAnsi" w:cstheme="minorHAnsi"/>
          <w:sz w:val="22"/>
          <w:szCs w:val="22"/>
        </w:rPr>
        <w:tab/>
      </w:r>
      <w:r w:rsidR="00A560D7">
        <w:rPr>
          <w:rFonts w:asciiTheme="minorHAnsi" w:hAnsiTheme="minorHAnsi" w:cstheme="minorHAnsi"/>
          <w:sz w:val="22"/>
          <w:szCs w:val="22"/>
        </w:rPr>
        <w:tab/>
      </w:r>
      <w:r w:rsidRPr="003F329C">
        <w:rPr>
          <w:rFonts w:asciiTheme="minorHAnsi" w:hAnsiTheme="minorHAnsi" w:cstheme="minorHAnsi"/>
          <w:sz w:val="22"/>
          <w:szCs w:val="22"/>
        </w:rPr>
        <w:t>Teniendo en vista esas reflexiones, se estima conveni</w:t>
      </w:r>
      <w:r>
        <w:rPr>
          <w:rFonts w:asciiTheme="minorHAnsi" w:hAnsiTheme="minorHAnsi" w:cstheme="minorHAnsi"/>
          <w:sz w:val="22"/>
          <w:szCs w:val="22"/>
        </w:rPr>
        <w:t>ente reformular tal precepto</w:t>
      </w:r>
      <w:r w:rsidRPr="003F329C">
        <w:rPr>
          <w:rFonts w:asciiTheme="minorHAnsi" w:hAnsiTheme="minorHAnsi" w:cstheme="minorHAnsi"/>
          <w:sz w:val="22"/>
          <w:szCs w:val="22"/>
        </w:rPr>
        <w:t xml:space="preserve">, comenzando por reivindicar el mandato popular de los parlamentarios, que les habilita para </w:t>
      </w:r>
      <w:r w:rsidRPr="003F329C">
        <w:rPr>
          <w:rFonts w:asciiTheme="minorHAnsi" w:hAnsiTheme="minorHAnsi"/>
          <w:sz w:val="22"/>
          <w:szCs w:val="22"/>
        </w:rPr>
        <w:t>promover, debatir  y votar las distintas iniciativas sometidas a su conocimiento, para luego consignar los elementos de hecho que justifican restringirlo</w:t>
      </w:r>
      <w:r w:rsidR="00567F66">
        <w:rPr>
          <w:rFonts w:asciiTheme="minorHAnsi" w:hAnsiTheme="minorHAnsi"/>
          <w:sz w:val="22"/>
          <w:szCs w:val="22"/>
        </w:rPr>
        <w:t>, de modo que esta materia quede lo más acotada posible</w:t>
      </w:r>
      <w:r w:rsidRPr="003F329C">
        <w:rPr>
          <w:rFonts w:asciiTheme="minorHAnsi" w:hAnsiTheme="minorHAnsi"/>
          <w:sz w:val="22"/>
          <w:szCs w:val="22"/>
        </w:rPr>
        <w:t>.</w:t>
      </w:r>
    </w:p>
    <w:p w:rsidR="00AF6F86" w:rsidRPr="003F329C" w:rsidRDefault="00AF6F86" w:rsidP="00AF6F86">
      <w:pPr>
        <w:pStyle w:val="indicacin"/>
        <w:tabs>
          <w:tab w:val="clear" w:pos="1418"/>
          <w:tab w:val="left" w:pos="2835"/>
        </w:tabs>
        <w:ind w:left="0" w:firstLine="0"/>
        <w:rPr>
          <w:rFonts w:asciiTheme="minorHAnsi" w:hAnsiTheme="minorHAnsi"/>
          <w:sz w:val="22"/>
          <w:szCs w:val="22"/>
        </w:rPr>
      </w:pPr>
    </w:p>
    <w:p w:rsidR="00AF6F86" w:rsidRPr="001810D2" w:rsidRDefault="00AF6F86" w:rsidP="00AF6F86">
      <w:pPr>
        <w:tabs>
          <w:tab w:val="left" w:pos="2835"/>
        </w:tabs>
        <w:spacing w:after="0" w:line="240" w:lineRule="auto"/>
        <w:jc w:val="both"/>
        <w:rPr>
          <w:b/>
        </w:rPr>
      </w:pPr>
      <w:r>
        <w:tab/>
      </w:r>
      <w:r w:rsidR="00A560D7">
        <w:tab/>
      </w:r>
      <w:r w:rsidR="00C405C5">
        <w:rPr>
          <w:b/>
        </w:rPr>
        <w:t>2</w:t>
      </w:r>
      <w:r w:rsidRPr="001810D2">
        <w:rPr>
          <w:b/>
        </w:rPr>
        <w:t>.</w:t>
      </w:r>
      <w:r w:rsidRPr="007E1E22">
        <w:t xml:space="preserve"> </w:t>
      </w:r>
      <w:r w:rsidR="00D85C79">
        <w:rPr>
          <w:b/>
        </w:rPr>
        <w:t>Prohibi</w:t>
      </w:r>
      <w:r w:rsidRPr="00DA00D0">
        <w:rPr>
          <w:b/>
        </w:rPr>
        <w:t xml:space="preserve">r en forma expresa el uso de </w:t>
      </w:r>
      <w:r w:rsidRPr="001810D2">
        <w:rPr>
          <w:b/>
        </w:rPr>
        <w:t>información privilegiada.</w:t>
      </w:r>
    </w:p>
    <w:p w:rsidR="00AF6F86" w:rsidRPr="001810D2" w:rsidRDefault="00AF6F86" w:rsidP="00AF6F86">
      <w:pPr>
        <w:tabs>
          <w:tab w:val="left" w:pos="2835"/>
        </w:tabs>
        <w:spacing w:after="0" w:line="240" w:lineRule="auto"/>
        <w:jc w:val="both"/>
      </w:pPr>
    </w:p>
    <w:p w:rsidR="00AF6F86" w:rsidRPr="001810D2" w:rsidRDefault="00AF6F86" w:rsidP="00AF6F86">
      <w:pPr>
        <w:tabs>
          <w:tab w:val="left" w:pos="2835"/>
        </w:tabs>
        <w:spacing w:after="0" w:line="240" w:lineRule="auto"/>
        <w:jc w:val="both"/>
      </w:pPr>
      <w:r w:rsidRPr="001810D2">
        <w:tab/>
      </w:r>
      <w:r w:rsidR="00A560D7">
        <w:tab/>
      </w:r>
      <w:r>
        <w:t xml:space="preserve">Se estima conveniente </w:t>
      </w:r>
      <w:r w:rsidR="00567F66">
        <w:t>elevar a rango legal la</w:t>
      </w:r>
      <w:r w:rsidRPr="001810D2">
        <w:t xml:space="preserve"> norma</w:t>
      </w:r>
      <w:r w:rsidR="00567F66">
        <w:t xml:space="preserve"> reglamentaria, vigente en el Reglamento de la Cámara,</w:t>
      </w:r>
      <w:r w:rsidRPr="001810D2">
        <w:t xml:space="preserve"> conforme a la cual</w:t>
      </w:r>
      <w:r>
        <w:t xml:space="preserve"> se consigne </w:t>
      </w:r>
      <w:r w:rsidRPr="001810D2">
        <w:t>que l</w:t>
      </w:r>
      <w:r w:rsidRPr="001810D2">
        <w:rPr>
          <w:rFonts w:cs="Courier New"/>
        </w:rPr>
        <w:t>os diputados y</w:t>
      </w:r>
      <w:r w:rsidR="00567F66">
        <w:rPr>
          <w:rFonts w:cs="Courier New"/>
        </w:rPr>
        <w:t>, a partir de ahora, los</w:t>
      </w:r>
      <w:r w:rsidRPr="001810D2">
        <w:rPr>
          <w:rFonts w:cs="Courier New"/>
        </w:rPr>
        <w:t xml:space="preserve"> senadores no pueden divulgar ni usar, en beneficio propio o de otras personas, </w:t>
      </w:r>
      <w:r w:rsidRPr="001810D2">
        <w:rPr>
          <w:rFonts w:cs="Dosis-Regular"/>
        </w:rPr>
        <w:t>la información que no se encuentre disponible para el público, a la que tuvieren acceso en razón de la función que desempeñan y cuyo conocimiento sea capaz de influir en las decisiones de orden económico o de otra naturaleza que puedan tomar las personas.</w:t>
      </w:r>
    </w:p>
    <w:p w:rsidR="00AF6F86" w:rsidRPr="001810D2" w:rsidRDefault="00AF6F86" w:rsidP="00AF6F86">
      <w:pPr>
        <w:tabs>
          <w:tab w:val="left" w:pos="2977"/>
        </w:tabs>
        <w:spacing w:after="0" w:line="240" w:lineRule="auto"/>
        <w:jc w:val="both"/>
        <w:rPr>
          <w:rFonts w:cs="Courier New"/>
        </w:rPr>
      </w:pPr>
    </w:p>
    <w:p w:rsidR="00AF6F86" w:rsidRDefault="00AF6F86" w:rsidP="00AF6F86">
      <w:pPr>
        <w:tabs>
          <w:tab w:val="left" w:pos="2835"/>
        </w:tabs>
        <w:spacing w:after="0" w:line="240" w:lineRule="auto"/>
        <w:jc w:val="both"/>
        <w:rPr>
          <w:b/>
        </w:rPr>
      </w:pPr>
      <w:r>
        <w:rPr>
          <w:b/>
        </w:rPr>
        <w:tab/>
      </w:r>
      <w:r w:rsidR="00A560D7">
        <w:rPr>
          <w:b/>
        </w:rPr>
        <w:tab/>
      </w:r>
      <w:r w:rsidR="00C405C5">
        <w:rPr>
          <w:b/>
        </w:rPr>
        <w:t>3</w:t>
      </w:r>
      <w:r>
        <w:rPr>
          <w:b/>
        </w:rPr>
        <w:t xml:space="preserve">.- </w:t>
      </w:r>
      <w:r w:rsidRPr="002B298B">
        <w:rPr>
          <w:b/>
        </w:rPr>
        <w:t>Reforzar el deber de asistencia</w:t>
      </w:r>
      <w:r>
        <w:rPr>
          <w:b/>
        </w:rPr>
        <w:t>, agregando la aplicación de la</w:t>
      </w:r>
      <w:r w:rsidRPr="002B298B">
        <w:rPr>
          <w:b/>
        </w:rPr>
        <w:t xml:space="preserve"> sanción </w:t>
      </w:r>
      <w:r>
        <w:rPr>
          <w:b/>
        </w:rPr>
        <w:t xml:space="preserve">que establezca el reglamento </w:t>
      </w:r>
      <w:r w:rsidRPr="002B298B">
        <w:rPr>
          <w:b/>
        </w:rPr>
        <w:t>por su incumplimiento injustificado, en el caso de sesiones de Sala.</w:t>
      </w:r>
      <w:r>
        <w:rPr>
          <w:b/>
        </w:rPr>
        <w:t xml:space="preserve"> </w:t>
      </w:r>
    </w:p>
    <w:p w:rsidR="00AF6F86" w:rsidRDefault="00AF6F86" w:rsidP="00AF6F86">
      <w:pPr>
        <w:autoSpaceDE w:val="0"/>
        <w:autoSpaceDN w:val="0"/>
        <w:adjustRightInd w:val="0"/>
        <w:spacing w:after="0" w:line="240" w:lineRule="auto"/>
        <w:jc w:val="both"/>
        <w:rPr>
          <w:rFonts w:cstheme="minorHAnsi"/>
        </w:rPr>
      </w:pPr>
    </w:p>
    <w:p w:rsidR="00AF6F86" w:rsidRPr="00A74AA7" w:rsidRDefault="00AF6F86" w:rsidP="00567F66">
      <w:pPr>
        <w:autoSpaceDE w:val="0"/>
        <w:autoSpaceDN w:val="0"/>
        <w:adjustRightInd w:val="0"/>
        <w:spacing w:after="0" w:line="240" w:lineRule="auto"/>
        <w:jc w:val="both"/>
        <w:rPr>
          <w:rFonts w:cstheme="minorHAnsi"/>
        </w:rPr>
      </w:pPr>
      <w:r w:rsidRPr="00A74AA7">
        <w:rPr>
          <w:rFonts w:cstheme="minorHAnsi"/>
        </w:rPr>
        <w:tab/>
      </w:r>
      <w:r w:rsidRPr="00A74AA7">
        <w:rPr>
          <w:rFonts w:cstheme="minorHAnsi"/>
        </w:rPr>
        <w:tab/>
      </w:r>
      <w:r w:rsidRPr="00A74AA7">
        <w:rPr>
          <w:rFonts w:cstheme="minorHAnsi"/>
        </w:rPr>
        <w:tab/>
      </w:r>
      <w:r w:rsidRPr="00A74AA7">
        <w:rPr>
          <w:rFonts w:cstheme="minorHAnsi"/>
        </w:rPr>
        <w:tab/>
      </w:r>
      <w:r w:rsidR="00A560D7">
        <w:rPr>
          <w:rFonts w:cstheme="minorHAnsi"/>
        </w:rPr>
        <w:tab/>
      </w:r>
      <w:r w:rsidRPr="00A74AA7">
        <w:rPr>
          <w:rFonts w:cstheme="minorHAnsi"/>
        </w:rPr>
        <w:t>La Ley Orgánica Constitucional del Congreso Nacional consagra el deber de los parlamentarios de asistir a las sesiones de la Cámara y de las comisiones a que pertenezcan.</w:t>
      </w:r>
      <w:r w:rsidR="00567F66">
        <w:rPr>
          <w:rFonts w:cstheme="minorHAnsi"/>
        </w:rPr>
        <w:t xml:space="preserve"> Se propone también elevar a rango legal la normativa reglamentaria de la Cámara</w:t>
      </w:r>
      <w:r w:rsidRPr="00A74AA7">
        <w:rPr>
          <w:rFonts w:cstheme="minorHAnsi"/>
        </w:rPr>
        <w:t xml:space="preserve"> </w:t>
      </w:r>
      <w:r w:rsidR="00567F66">
        <w:rPr>
          <w:rFonts w:cstheme="minorHAnsi"/>
        </w:rPr>
        <w:t xml:space="preserve">en </w:t>
      </w:r>
      <w:r w:rsidRPr="00A74AA7">
        <w:rPr>
          <w:rFonts w:cstheme="minorHAnsi"/>
        </w:rPr>
        <w:t>que</w:t>
      </w:r>
      <w:r w:rsidRPr="00A74AA7">
        <w:rPr>
          <w:rFonts w:cs="Dosis-Regular"/>
          <w:color w:val="1A1A1A"/>
        </w:rPr>
        <w:t xml:space="preserve"> la ausencia injustificada a las ses</w:t>
      </w:r>
      <w:r w:rsidR="00567F66">
        <w:rPr>
          <w:rFonts w:cs="Dosis-Regular"/>
          <w:color w:val="1A1A1A"/>
        </w:rPr>
        <w:t>iones de Sala es</w:t>
      </w:r>
      <w:r w:rsidRPr="00A74AA7">
        <w:rPr>
          <w:rFonts w:cs="Dosis-Regular"/>
          <w:color w:val="1A1A1A"/>
        </w:rPr>
        <w:t xml:space="preserve"> sancionada en la forma que determine el respectivo reglamento. Es preciso señalar que, en el caso de las sesiones de comisiones, existe el mecanismo reglamentario del reemplazo por otro parlamentario.</w:t>
      </w:r>
    </w:p>
    <w:p w:rsidR="00AF6F86" w:rsidRDefault="00AF6F86" w:rsidP="00AF6F86">
      <w:pPr>
        <w:tabs>
          <w:tab w:val="left" w:pos="2835"/>
        </w:tabs>
        <w:spacing w:after="0" w:line="240" w:lineRule="auto"/>
        <w:jc w:val="both"/>
      </w:pPr>
    </w:p>
    <w:p w:rsidR="00AF6F86" w:rsidRDefault="00AF6F86" w:rsidP="00AF6F86">
      <w:pPr>
        <w:tabs>
          <w:tab w:val="left" w:pos="2835"/>
        </w:tabs>
        <w:spacing w:after="0" w:line="240" w:lineRule="auto"/>
        <w:jc w:val="both"/>
        <w:rPr>
          <w:b/>
        </w:rPr>
      </w:pPr>
      <w:r>
        <w:tab/>
      </w:r>
      <w:r w:rsidR="00A560D7">
        <w:tab/>
      </w:r>
      <w:r w:rsidR="00C405C5">
        <w:rPr>
          <w:b/>
        </w:rPr>
        <w:t>4</w:t>
      </w:r>
      <w:r w:rsidRPr="00615EB4">
        <w:rPr>
          <w:b/>
        </w:rPr>
        <w:t>.-</w:t>
      </w:r>
      <w:r>
        <w:t xml:space="preserve"> </w:t>
      </w:r>
      <w:r w:rsidRPr="00671841">
        <w:rPr>
          <w:b/>
        </w:rPr>
        <w:t>Evitar que</w:t>
      </w:r>
      <w:r w:rsidR="00B0511A">
        <w:rPr>
          <w:b/>
        </w:rPr>
        <w:t xml:space="preserve"> el</w:t>
      </w:r>
      <w:r w:rsidRPr="00671841">
        <w:rPr>
          <w:b/>
        </w:rPr>
        <w:t xml:space="preserve"> impedimento</w:t>
      </w:r>
      <w:r>
        <w:rPr>
          <w:b/>
        </w:rPr>
        <w:t xml:space="preserve"> </w:t>
      </w:r>
      <w:r w:rsidRPr="00671841">
        <w:rPr>
          <w:b/>
        </w:rPr>
        <w:t>altere el cómputo de l</w:t>
      </w:r>
      <w:r>
        <w:rPr>
          <w:b/>
        </w:rPr>
        <w:t>os quórum y mayorías especiales.</w:t>
      </w:r>
    </w:p>
    <w:p w:rsidR="00AF6F86" w:rsidRPr="00615EB4" w:rsidRDefault="00AF6F86" w:rsidP="00AF6F86">
      <w:pPr>
        <w:tabs>
          <w:tab w:val="left" w:pos="2835"/>
        </w:tabs>
        <w:spacing w:after="0" w:line="240" w:lineRule="auto"/>
        <w:jc w:val="both"/>
      </w:pPr>
    </w:p>
    <w:p w:rsidR="00AF6F86" w:rsidRPr="00615EB4" w:rsidRDefault="00AF6F86" w:rsidP="00AF6F86">
      <w:pPr>
        <w:tabs>
          <w:tab w:val="left" w:pos="2835"/>
        </w:tabs>
        <w:spacing w:after="0" w:line="240" w:lineRule="auto"/>
        <w:jc w:val="both"/>
      </w:pPr>
      <w:r w:rsidRPr="00615EB4">
        <w:tab/>
      </w:r>
      <w:r w:rsidR="00A560D7">
        <w:tab/>
      </w:r>
      <w:r w:rsidRPr="00615EB4">
        <w:t xml:space="preserve">En la actualidad, para computar los quórum y mayorías no se consideran como senadores y diputados en ejercicio los que se encuentren desaforados y los que estén ausentes del país con permiso constitucional. Es evidente que los que estén impedidos para votar un asunto </w:t>
      </w:r>
      <w:r>
        <w:t xml:space="preserve">también </w:t>
      </w:r>
      <w:r w:rsidRPr="00615EB4">
        <w:t>se deben considerar dentro de aquellos que no están en ejercicio, respecto de aquella materia específica</w:t>
      </w:r>
      <w:r>
        <w:t xml:space="preserve"> de que se trate</w:t>
      </w:r>
      <w:r w:rsidRPr="00615EB4">
        <w:t>, y así conviene precisarlo.</w:t>
      </w:r>
    </w:p>
    <w:p w:rsidR="00AF6F86" w:rsidRPr="00615EB4" w:rsidRDefault="00AF6F86" w:rsidP="00AF6F86">
      <w:pPr>
        <w:tabs>
          <w:tab w:val="left" w:pos="2835"/>
        </w:tabs>
        <w:spacing w:after="0" w:line="240" w:lineRule="auto"/>
        <w:jc w:val="both"/>
      </w:pPr>
    </w:p>
    <w:p w:rsidR="00AF6F86" w:rsidRDefault="00AF6F86" w:rsidP="00AF6F86">
      <w:pPr>
        <w:tabs>
          <w:tab w:val="left" w:pos="2835"/>
        </w:tabs>
        <w:spacing w:after="0" w:line="240" w:lineRule="auto"/>
        <w:jc w:val="both"/>
        <w:rPr>
          <w:rFonts w:cstheme="minorHAnsi"/>
          <w:b/>
        </w:rPr>
      </w:pPr>
      <w:r>
        <w:tab/>
      </w:r>
      <w:r w:rsidR="00A560D7">
        <w:tab/>
      </w:r>
      <w:r w:rsidR="00C405C5">
        <w:rPr>
          <w:b/>
        </w:rPr>
        <w:t>5</w:t>
      </w:r>
      <w:r w:rsidRPr="00615EB4">
        <w:rPr>
          <w:rFonts w:cstheme="minorHAnsi"/>
          <w:b/>
        </w:rPr>
        <w:t>.-</w:t>
      </w:r>
      <w:r>
        <w:rPr>
          <w:rFonts w:cstheme="minorHAnsi"/>
          <w:b/>
        </w:rPr>
        <w:t xml:space="preserve"> </w:t>
      </w:r>
      <w:r w:rsidRPr="0013125F">
        <w:rPr>
          <w:rFonts w:cstheme="minorHAnsi"/>
          <w:b/>
        </w:rPr>
        <w:t xml:space="preserve">Fijar parámetros objetivos para la rendición </w:t>
      </w:r>
      <w:r>
        <w:rPr>
          <w:rFonts w:cstheme="minorHAnsi"/>
          <w:b/>
        </w:rPr>
        <w:t>anual de cuentas institucional.</w:t>
      </w:r>
    </w:p>
    <w:p w:rsidR="00AF6F86" w:rsidRDefault="00AF6F86" w:rsidP="00AF6F86">
      <w:pPr>
        <w:tabs>
          <w:tab w:val="left" w:pos="2835"/>
        </w:tabs>
        <w:spacing w:after="0" w:line="240" w:lineRule="auto"/>
        <w:jc w:val="both"/>
        <w:rPr>
          <w:rFonts w:cstheme="minorHAnsi"/>
          <w:b/>
        </w:rPr>
      </w:pPr>
    </w:p>
    <w:p w:rsidR="00AF6F86" w:rsidRDefault="00AF6F86" w:rsidP="00AF6F86">
      <w:pPr>
        <w:autoSpaceDE w:val="0"/>
        <w:autoSpaceDN w:val="0"/>
        <w:adjustRightInd w:val="0"/>
        <w:spacing w:after="0" w:line="240" w:lineRule="auto"/>
        <w:jc w:val="both"/>
        <w:rPr>
          <w:rFonts w:cstheme="minorHAnsi"/>
        </w:rPr>
      </w:pPr>
      <w:r>
        <w:rPr>
          <w:rFonts w:cstheme="minorHAnsi"/>
          <w:b/>
        </w:rPr>
        <w:tab/>
      </w:r>
      <w:r>
        <w:rPr>
          <w:rFonts w:cstheme="minorHAnsi"/>
        </w:rPr>
        <w:tab/>
      </w:r>
      <w:r>
        <w:rPr>
          <w:rFonts w:cstheme="minorHAnsi"/>
        </w:rPr>
        <w:tab/>
      </w:r>
      <w:r>
        <w:rPr>
          <w:rFonts w:cstheme="minorHAnsi"/>
        </w:rPr>
        <w:tab/>
      </w:r>
      <w:r w:rsidR="00A560D7">
        <w:rPr>
          <w:rFonts w:cstheme="minorHAnsi"/>
        </w:rPr>
        <w:tab/>
      </w:r>
      <w:r>
        <w:rPr>
          <w:rFonts w:cstheme="minorHAnsi"/>
        </w:rPr>
        <w:t xml:space="preserve">Con la </w:t>
      </w:r>
      <w:r w:rsidR="00C405C5">
        <w:rPr>
          <w:rFonts w:cstheme="minorHAnsi"/>
        </w:rPr>
        <w:t>entrada en vigencia</w:t>
      </w:r>
      <w:r w:rsidR="008E704B">
        <w:rPr>
          <w:rFonts w:cstheme="minorHAnsi"/>
        </w:rPr>
        <w:t>, el pasado 21 de julio, del nuevo artículo 56 bis de la Constitución Política, introducido por la ley N°20.854, se consagró</w:t>
      </w:r>
      <w:r w:rsidRPr="00874A9D">
        <w:rPr>
          <w:rFonts w:cstheme="minorHAnsi"/>
        </w:rPr>
        <w:t xml:space="preserve"> la obligación del Presidente del Senado y del Presidente de la Cámara de Diputados de </w:t>
      </w:r>
      <w:r w:rsidRPr="005B3286">
        <w:rPr>
          <w:rFonts w:cstheme="minorHAnsi"/>
        </w:rPr>
        <w:t>rendir una cuenta pública a</w:t>
      </w:r>
      <w:r>
        <w:rPr>
          <w:rFonts w:cstheme="minorHAnsi"/>
        </w:rPr>
        <w:t>nual</w:t>
      </w:r>
      <w:r w:rsidR="008E704B">
        <w:rPr>
          <w:rFonts w:cstheme="minorHAnsi"/>
        </w:rPr>
        <w:t>,</w:t>
      </w:r>
      <w:r>
        <w:rPr>
          <w:rFonts w:cstheme="minorHAnsi"/>
        </w:rPr>
        <w:t xml:space="preserve"> durante el mes </w:t>
      </w:r>
      <w:r w:rsidRPr="00874A9D">
        <w:rPr>
          <w:rFonts w:cstheme="minorHAnsi"/>
        </w:rPr>
        <w:t>de julio, sobre las actividades realizadas por las Corporaciones que presiden</w:t>
      </w:r>
      <w:r w:rsidR="008E704B">
        <w:rPr>
          <w:rFonts w:cstheme="minorHAnsi"/>
        </w:rPr>
        <w:t>. De esta forma</w:t>
      </w:r>
      <w:r>
        <w:rPr>
          <w:rFonts w:cstheme="minorHAnsi"/>
        </w:rPr>
        <w:t xml:space="preserve"> el</w:t>
      </w:r>
      <w:r w:rsidRPr="00874A9D">
        <w:rPr>
          <w:rFonts w:cstheme="minorHAnsi"/>
        </w:rPr>
        <w:t xml:space="preserve"> </w:t>
      </w:r>
      <w:r>
        <w:rPr>
          <w:rFonts w:cstheme="minorHAnsi"/>
        </w:rPr>
        <w:t>Congreso Nacional se incorpor</w:t>
      </w:r>
      <w:r w:rsidR="00C405C5">
        <w:rPr>
          <w:rFonts w:cstheme="minorHAnsi"/>
        </w:rPr>
        <w:t>ó</w:t>
      </w:r>
      <w:r w:rsidRPr="00874A9D">
        <w:rPr>
          <w:rFonts w:cstheme="minorHAnsi"/>
        </w:rPr>
        <w:t xml:space="preserve"> </w:t>
      </w:r>
      <w:r>
        <w:rPr>
          <w:rFonts w:cstheme="minorHAnsi"/>
        </w:rPr>
        <w:t>al mecanismo establecido</w:t>
      </w:r>
      <w:r w:rsidRPr="00874A9D">
        <w:rPr>
          <w:rFonts w:cstheme="minorHAnsi"/>
        </w:rPr>
        <w:t xml:space="preserve"> en nuestro ordenamiento jurídico</w:t>
      </w:r>
      <w:r w:rsidR="008E704B">
        <w:rPr>
          <w:rFonts w:cstheme="minorHAnsi"/>
        </w:rPr>
        <w:t>,</w:t>
      </w:r>
      <w:r w:rsidRPr="00874A9D">
        <w:rPr>
          <w:rFonts w:cstheme="minorHAnsi"/>
        </w:rPr>
        <w:t xml:space="preserve"> desde hace largo tiempo</w:t>
      </w:r>
      <w:r w:rsidR="008E704B">
        <w:rPr>
          <w:rFonts w:cstheme="minorHAnsi"/>
        </w:rPr>
        <w:t>,</w:t>
      </w:r>
      <w:r w:rsidRPr="00874A9D">
        <w:rPr>
          <w:rFonts w:cstheme="minorHAnsi"/>
        </w:rPr>
        <w:t xml:space="preserve"> para el Presidente de</w:t>
      </w:r>
      <w:r>
        <w:rPr>
          <w:rFonts w:cstheme="minorHAnsi"/>
        </w:rPr>
        <w:t xml:space="preserve"> la República y </w:t>
      </w:r>
      <w:r w:rsidRPr="00874A9D">
        <w:rPr>
          <w:rFonts w:cstheme="minorHAnsi"/>
        </w:rPr>
        <w:t>para el Presidente de la Corte Su</w:t>
      </w:r>
      <w:r>
        <w:rPr>
          <w:rFonts w:cstheme="minorHAnsi"/>
        </w:rPr>
        <w:t>prema</w:t>
      </w:r>
      <w:r w:rsidRPr="00874A9D">
        <w:rPr>
          <w:rFonts w:cstheme="minorHAnsi"/>
        </w:rPr>
        <w:t xml:space="preserve">. </w:t>
      </w:r>
    </w:p>
    <w:p w:rsidR="00AF6F86" w:rsidRDefault="00AF6F86" w:rsidP="00AF6F86">
      <w:pPr>
        <w:autoSpaceDE w:val="0"/>
        <w:autoSpaceDN w:val="0"/>
        <w:adjustRightInd w:val="0"/>
        <w:spacing w:after="0" w:line="240" w:lineRule="auto"/>
        <w:jc w:val="both"/>
        <w:rPr>
          <w:rFonts w:cstheme="minorHAnsi"/>
        </w:rPr>
      </w:pPr>
    </w:p>
    <w:p w:rsidR="00AF6F86" w:rsidRDefault="00AF6F86" w:rsidP="00AF6F86">
      <w:pPr>
        <w:autoSpaceDE w:val="0"/>
        <w:autoSpaceDN w:val="0"/>
        <w:adjustRightInd w:val="0"/>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sidR="00A560D7">
        <w:rPr>
          <w:rFonts w:cstheme="minorHAnsi"/>
        </w:rPr>
        <w:tab/>
      </w:r>
      <w:r>
        <w:rPr>
          <w:rFonts w:cstheme="minorHAnsi"/>
        </w:rPr>
        <w:t>Sin perjuicio del desarrollo reglamentario que efectúe cada Cámara sobre el contenido de la respectiva cuenta, resulta útil establecer bases comunes, que incluyan consideraciones técnicas y que garanticen que la información sobre la ge</w:t>
      </w:r>
      <w:r w:rsidR="00B0511A">
        <w:rPr>
          <w:rFonts w:cstheme="minorHAnsi"/>
        </w:rPr>
        <w:t xml:space="preserve">stión del año anterior utilice </w:t>
      </w:r>
      <w:r>
        <w:rPr>
          <w:rFonts w:cstheme="minorHAnsi"/>
        </w:rPr>
        <w:t xml:space="preserve">un lenguaje </w:t>
      </w:r>
      <w:r w:rsidRPr="00874A9D">
        <w:rPr>
          <w:rFonts w:cstheme="minorHAnsi"/>
        </w:rPr>
        <w:t xml:space="preserve">de fácil comprensión, que </w:t>
      </w:r>
      <w:r>
        <w:rPr>
          <w:rFonts w:cstheme="minorHAnsi"/>
        </w:rPr>
        <w:t xml:space="preserve">sea comparable con las otras cuentas que se efectúen y que </w:t>
      </w:r>
      <w:r w:rsidRPr="00874A9D">
        <w:rPr>
          <w:rFonts w:cstheme="minorHAnsi"/>
        </w:rPr>
        <w:t xml:space="preserve">ayude a promover el </w:t>
      </w:r>
      <w:r w:rsidRPr="00F94032">
        <w:rPr>
          <w:rFonts w:cstheme="minorHAnsi"/>
        </w:rPr>
        <w:t>conocimiento y la formación de opinión por parte de la ciudadanía.</w:t>
      </w:r>
    </w:p>
    <w:p w:rsidR="00AF6F86" w:rsidRPr="00F94032" w:rsidRDefault="00AF6F86" w:rsidP="00AF6F86">
      <w:pPr>
        <w:autoSpaceDE w:val="0"/>
        <w:autoSpaceDN w:val="0"/>
        <w:adjustRightInd w:val="0"/>
        <w:spacing w:after="0" w:line="240" w:lineRule="auto"/>
        <w:jc w:val="both"/>
        <w:rPr>
          <w:rFonts w:cstheme="minorHAnsi"/>
        </w:rPr>
      </w:pPr>
    </w:p>
    <w:p w:rsidR="00AF6F86" w:rsidRDefault="00AF6F86" w:rsidP="00AF6F86">
      <w:pPr>
        <w:spacing w:after="0" w:line="240" w:lineRule="auto"/>
        <w:ind w:right="-28"/>
        <w:jc w:val="both"/>
      </w:pPr>
      <w:r>
        <w:rPr>
          <w:rFonts w:cstheme="minorHAnsi"/>
        </w:rPr>
        <w:tab/>
      </w:r>
      <w:r>
        <w:rPr>
          <w:rFonts w:cstheme="minorHAnsi"/>
        </w:rPr>
        <w:tab/>
      </w:r>
      <w:r>
        <w:rPr>
          <w:rFonts w:cstheme="minorHAnsi"/>
        </w:rPr>
        <w:tab/>
      </w:r>
      <w:r>
        <w:rPr>
          <w:rFonts w:cstheme="minorHAnsi"/>
        </w:rPr>
        <w:tab/>
      </w:r>
      <w:r w:rsidR="00A560D7">
        <w:rPr>
          <w:rFonts w:cstheme="minorHAnsi"/>
        </w:rPr>
        <w:tab/>
      </w:r>
      <w:r w:rsidR="00C405C5">
        <w:rPr>
          <w:b/>
        </w:rPr>
        <w:t>6</w:t>
      </w:r>
      <w:r w:rsidRPr="000D616E">
        <w:rPr>
          <w:b/>
        </w:rPr>
        <w:t>. Prohibir expresamente la contratación de familiares y personas jurídicas relacionadas con los parlamentarios, o con funcionarios directivos del Congreso.</w:t>
      </w:r>
      <w:r>
        <w:t xml:space="preserve"> </w:t>
      </w:r>
    </w:p>
    <w:p w:rsidR="00AF6F86" w:rsidRDefault="00AF6F86" w:rsidP="00AF6F86">
      <w:pPr>
        <w:spacing w:after="0" w:line="240" w:lineRule="auto"/>
        <w:ind w:right="-28"/>
        <w:jc w:val="both"/>
      </w:pPr>
    </w:p>
    <w:p w:rsidR="00AF6F86" w:rsidRPr="00235C4A" w:rsidRDefault="00AF6F86" w:rsidP="00AF6F86">
      <w:pPr>
        <w:pStyle w:val="Estilo3"/>
        <w:numPr>
          <w:ilvl w:val="0"/>
          <w:numId w:val="0"/>
        </w:numPr>
        <w:spacing w:before="0" w:after="0" w:line="240" w:lineRule="auto"/>
        <w:jc w:val="both"/>
        <w:rPr>
          <w:rFonts w:cstheme="minorHAnsi"/>
          <w:b w:val="0"/>
          <w:sz w:val="22"/>
        </w:rPr>
      </w:pPr>
      <w:r>
        <w:tab/>
      </w:r>
      <w:r>
        <w:tab/>
      </w:r>
      <w:r>
        <w:tab/>
      </w:r>
      <w:r>
        <w:rPr>
          <w:rFonts w:cstheme="minorHAnsi"/>
          <w:b w:val="0"/>
          <w:sz w:val="22"/>
        </w:rPr>
        <w:tab/>
      </w:r>
      <w:r w:rsidR="00A560D7">
        <w:rPr>
          <w:rFonts w:cstheme="minorHAnsi"/>
          <w:b w:val="0"/>
          <w:sz w:val="22"/>
        </w:rPr>
        <w:tab/>
      </w:r>
      <w:r w:rsidRPr="00235C4A">
        <w:rPr>
          <w:rFonts w:cstheme="minorHAnsi"/>
          <w:b w:val="0"/>
          <w:sz w:val="22"/>
        </w:rPr>
        <w:t>En conformidad con la normativa sobre asignaciones parlamentarias aprobada por el Consejo Resolutivo de Asignaciones Parlamentarias</w:t>
      </w:r>
      <w:r w:rsidR="0078248A">
        <w:rPr>
          <w:rFonts w:cstheme="minorHAnsi"/>
          <w:b w:val="0"/>
          <w:sz w:val="22"/>
        </w:rPr>
        <w:t xml:space="preserve"> </w:t>
      </w:r>
      <w:r w:rsidR="0078248A" w:rsidRPr="008E704B">
        <w:rPr>
          <w:rFonts w:cstheme="minorHAnsi"/>
          <w:b w:val="0"/>
          <w:sz w:val="22"/>
        </w:rPr>
        <w:t xml:space="preserve">mediante las </w:t>
      </w:r>
      <w:r w:rsidRPr="008E704B">
        <w:rPr>
          <w:rFonts w:cstheme="minorHAnsi"/>
          <w:b w:val="0"/>
          <w:sz w:val="22"/>
        </w:rPr>
        <w:t xml:space="preserve"> </w:t>
      </w:r>
      <w:r w:rsidR="00C405C5" w:rsidRPr="008E704B">
        <w:rPr>
          <w:b w:val="0"/>
          <w:sz w:val="22"/>
        </w:rPr>
        <w:t>Resolucio</w:t>
      </w:r>
      <w:r w:rsidRPr="008E704B">
        <w:rPr>
          <w:b w:val="0"/>
          <w:sz w:val="22"/>
        </w:rPr>
        <w:t>n</w:t>
      </w:r>
      <w:r w:rsidR="00C405C5" w:rsidRPr="008E704B">
        <w:rPr>
          <w:b w:val="0"/>
          <w:sz w:val="22"/>
        </w:rPr>
        <w:t>es</w:t>
      </w:r>
      <w:r w:rsidRPr="008E704B">
        <w:rPr>
          <w:b w:val="0"/>
          <w:sz w:val="22"/>
        </w:rPr>
        <w:t xml:space="preserve"> N° </w:t>
      </w:r>
      <w:r w:rsidR="0078248A" w:rsidRPr="008E704B">
        <w:rPr>
          <w:b w:val="0"/>
          <w:sz w:val="22"/>
        </w:rPr>
        <w:t>01 y</w:t>
      </w:r>
      <w:r w:rsidR="00C405C5" w:rsidRPr="008E704B">
        <w:rPr>
          <w:b w:val="0"/>
          <w:sz w:val="22"/>
        </w:rPr>
        <w:t xml:space="preserve"> </w:t>
      </w:r>
      <w:r w:rsidRPr="008E704B">
        <w:rPr>
          <w:b w:val="0"/>
          <w:sz w:val="22"/>
        </w:rPr>
        <w:t>02, de 5 de septiembre de 2011</w:t>
      </w:r>
      <w:r w:rsidRPr="008E704B">
        <w:rPr>
          <w:sz w:val="22"/>
        </w:rPr>
        <w:t>,</w:t>
      </w:r>
      <w:r w:rsidRPr="008E704B">
        <w:rPr>
          <w:rFonts w:cstheme="minorHAnsi"/>
          <w:b w:val="0"/>
          <w:sz w:val="22"/>
        </w:rPr>
        <w:t xml:space="preserve"> es posible</w:t>
      </w:r>
      <w:r w:rsidRPr="00235C4A">
        <w:rPr>
          <w:rFonts w:cstheme="minorHAnsi"/>
          <w:b w:val="0"/>
          <w:sz w:val="22"/>
        </w:rPr>
        <w:t xml:space="preserve"> la contratación con cargo a esas asignaciones, sea como personal de apoyo o asesor externo, de familiares de parlamentarios, siempre que lo autorice la Comisión de Ética y Transparencia de la respectiva Cámara. </w:t>
      </w:r>
      <w:r w:rsidR="00567F66">
        <w:rPr>
          <w:rFonts w:cstheme="minorHAnsi"/>
          <w:b w:val="0"/>
          <w:sz w:val="22"/>
        </w:rPr>
        <w:t>Esta Corporación adoptó el criterio de prohibir esas contrataciones, por lo que se eleva a rango legal tal acuerdo.</w:t>
      </w:r>
    </w:p>
    <w:p w:rsidR="00AF6F86" w:rsidRDefault="00AF6F86" w:rsidP="00567F66">
      <w:pPr>
        <w:pStyle w:val="Estilo3"/>
        <w:numPr>
          <w:ilvl w:val="0"/>
          <w:numId w:val="0"/>
        </w:numPr>
        <w:spacing w:before="0" w:after="0" w:line="240" w:lineRule="auto"/>
        <w:jc w:val="both"/>
        <w:rPr>
          <w:rFonts w:cstheme="minorHAnsi"/>
          <w:b w:val="0"/>
        </w:rPr>
      </w:pPr>
    </w:p>
    <w:p w:rsidR="00AF6F86" w:rsidRDefault="00AF6F86" w:rsidP="00AF6F86">
      <w:pPr>
        <w:tabs>
          <w:tab w:val="left" w:pos="2835"/>
        </w:tabs>
        <w:spacing w:after="0" w:line="240" w:lineRule="auto"/>
        <w:jc w:val="both"/>
      </w:pPr>
      <w:r>
        <w:tab/>
      </w:r>
      <w:r w:rsidR="00A560D7">
        <w:tab/>
      </w:r>
      <w:r w:rsidR="0078248A">
        <w:rPr>
          <w:b/>
        </w:rPr>
        <w:t>7</w:t>
      </w:r>
      <w:r w:rsidRPr="00241C0F">
        <w:rPr>
          <w:b/>
        </w:rPr>
        <w:t>.</w:t>
      </w:r>
      <w:r>
        <w:rPr>
          <w:b/>
        </w:rPr>
        <w:t xml:space="preserve"> Dar nuevas reglas sobre publicidad en el </w:t>
      </w:r>
      <w:r w:rsidRPr="002924E2">
        <w:rPr>
          <w:b/>
        </w:rPr>
        <w:t>caso de comisiones.</w:t>
      </w:r>
      <w:r w:rsidRPr="002924E2">
        <w:t xml:space="preserve"> </w:t>
      </w:r>
    </w:p>
    <w:p w:rsidR="0078248A" w:rsidRPr="002924E2" w:rsidRDefault="0078248A" w:rsidP="00AF6F86">
      <w:pPr>
        <w:tabs>
          <w:tab w:val="left" w:pos="2835"/>
        </w:tabs>
        <w:spacing w:after="0" w:line="240" w:lineRule="auto"/>
        <w:jc w:val="both"/>
      </w:pPr>
    </w:p>
    <w:p w:rsidR="00AF6F86" w:rsidRDefault="00AF6F86" w:rsidP="00AF6F86">
      <w:pPr>
        <w:autoSpaceDE w:val="0"/>
        <w:autoSpaceDN w:val="0"/>
        <w:adjustRightInd w:val="0"/>
        <w:spacing w:after="0" w:line="240" w:lineRule="auto"/>
        <w:jc w:val="both"/>
        <w:rPr>
          <w:rFonts w:cs="Courier New"/>
        </w:rPr>
      </w:pPr>
      <w:r w:rsidRPr="002924E2">
        <w:tab/>
      </w:r>
      <w:r w:rsidRPr="002924E2">
        <w:tab/>
      </w:r>
      <w:r w:rsidRPr="002924E2">
        <w:tab/>
      </w:r>
      <w:r w:rsidRPr="002924E2">
        <w:tab/>
      </w:r>
      <w:r w:rsidR="00A560D7">
        <w:tab/>
      </w:r>
      <w:r w:rsidRPr="002924E2">
        <w:t>Se estima conveniente acercar los procedimientos de ambas Cámaras en relación con el trabajo de Comisiones.</w:t>
      </w:r>
      <w:r w:rsidR="0078248A">
        <w:t xml:space="preserve"> </w:t>
      </w:r>
      <w:r w:rsidRPr="002924E2">
        <w:t xml:space="preserve">Para tal efecto, por ejemplo, se considera útil que se </w:t>
      </w:r>
      <w:r w:rsidRPr="002924E2">
        <w:rPr>
          <w:rFonts w:cs="Courier New"/>
        </w:rPr>
        <w:t>establezca en los reglamentos un régimen de audiencias públicas y participación ciudadana para apoyar el trabajo de las comisiones, que sea compatible con el asunto a informar y la urgencia con que esté calificado.</w:t>
      </w:r>
    </w:p>
    <w:p w:rsidR="00AF6F86" w:rsidRDefault="00AF6F86" w:rsidP="00AF6F86">
      <w:pPr>
        <w:autoSpaceDE w:val="0"/>
        <w:autoSpaceDN w:val="0"/>
        <w:adjustRightInd w:val="0"/>
        <w:spacing w:after="0" w:line="240" w:lineRule="auto"/>
        <w:jc w:val="both"/>
        <w:rPr>
          <w:rFonts w:cs="Courier New"/>
        </w:rPr>
      </w:pPr>
    </w:p>
    <w:p w:rsidR="00AF6F86" w:rsidRDefault="00AF6F86" w:rsidP="00AF6F86">
      <w:pPr>
        <w:autoSpaceDE w:val="0"/>
        <w:autoSpaceDN w:val="0"/>
        <w:adjustRightInd w:val="0"/>
        <w:spacing w:after="0" w:line="240" w:lineRule="auto"/>
        <w:jc w:val="both"/>
        <w:rPr>
          <w:rFonts w:cstheme="minorHAnsi"/>
        </w:rPr>
      </w:pPr>
      <w:r>
        <w:rPr>
          <w:rFonts w:cs="Courier New"/>
        </w:rPr>
        <w:tab/>
      </w:r>
      <w:r>
        <w:rPr>
          <w:rFonts w:cs="Courier New"/>
        </w:rPr>
        <w:tab/>
      </w:r>
      <w:r>
        <w:rPr>
          <w:rFonts w:cs="Courier New"/>
        </w:rPr>
        <w:tab/>
      </w:r>
      <w:r>
        <w:rPr>
          <w:rFonts w:cs="Courier New"/>
        </w:rPr>
        <w:tab/>
      </w:r>
      <w:r w:rsidR="00A560D7">
        <w:rPr>
          <w:rFonts w:cs="Courier New"/>
        </w:rPr>
        <w:tab/>
      </w:r>
      <w:r w:rsidRPr="002924E2">
        <w:rPr>
          <w:rFonts w:cstheme="minorHAnsi"/>
        </w:rPr>
        <w:t xml:space="preserve">Asimismo, no obstante que las sesiones de comisiones constituyen deliberaciones previas a la adopción de la decisión por la Sala, </w:t>
      </w:r>
      <w:r w:rsidR="00281F5A">
        <w:rPr>
          <w:rFonts w:cstheme="minorHAnsi"/>
        </w:rPr>
        <w:t>se establece que cada Cámara acordará</w:t>
      </w:r>
      <w:r w:rsidRPr="002924E2">
        <w:rPr>
          <w:rFonts w:cstheme="minorHAnsi"/>
        </w:rPr>
        <w:t xml:space="preserve"> las medidas de difusión de dichas sesiones que considere adecuadas</w:t>
      </w:r>
      <w:r w:rsidR="00AC6703">
        <w:rPr>
          <w:rFonts w:cstheme="minorHAnsi"/>
        </w:rPr>
        <w:t>, recurriendo especialmente a la tecnología audiovisual, en términos siempre de respetar</w:t>
      </w:r>
      <w:r w:rsidR="00360E8E">
        <w:rPr>
          <w:rFonts w:cstheme="minorHAnsi"/>
        </w:rPr>
        <w:t xml:space="preserve"> el cumplimiento de</w:t>
      </w:r>
      <w:r w:rsidRPr="002924E2">
        <w:rPr>
          <w:rFonts w:cstheme="minorHAnsi"/>
        </w:rPr>
        <w:t xml:space="preserve"> su objetivo </w:t>
      </w:r>
      <w:r w:rsidR="00360E8E">
        <w:rPr>
          <w:rFonts w:cstheme="minorHAnsi"/>
        </w:rPr>
        <w:t xml:space="preserve">básico </w:t>
      </w:r>
      <w:r w:rsidRPr="002924E2">
        <w:rPr>
          <w:rFonts w:cstheme="minorHAnsi"/>
        </w:rPr>
        <w:t>de ilustrar a la Sala.</w:t>
      </w:r>
      <w:r w:rsidR="00281F5A">
        <w:rPr>
          <w:rFonts w:cstheme="minorHAnsi"/>
        </w:rPr>
        <w:t xml:space="preserve"> </w:t>
      </w:r>
      <w:r w:rsidR="00AC6703">
        <w:rPr>
          <w:rFonts w:cstheme="minorHAnsi"/>
        </w:rPr>
        <w:t xml:space="preserve"> </w:t>
      </w:r>
    </w:p>
    <w:p w:rsidR="00AF6F86" w:rsidRDefault="00AF6F86" w:rsidP="00AF6F86">
      <w:pPr>
        <w:autoSpaceDE w:val="0"/>
        <w:autoSpaceDN w:val="0"/>
        <w:adjustRightInd w:val="0"/>
        <w:spacing w:after="0" w:line="240" w:lineRule="auto"/>
        <w:jc w:val="both"/>
        <w:rPr>
          <w:rFonts w:cstheme="minorHAnsi"/>
        </w:rPr>
      </w:pPr>
    </w:p>
    <w:p w:rsidR="00AF6F86" w:rsidRPr="002924E2" w:rsidRDefault="00AF6F86" w:rsidP="00AF6F86">
      <w:pPr>
        <w:autoSpaceDE w:val="0"/>
        <w:autoSpaceDN w:val="0"/>
        <w:adjustRightInd w:val="0"/>
        <w:spacing w:after="0" w:line="240" w:lineRule="auto"/>
        <w:jc w:val="both"/>
      </w:pPr>
      <w:r>
        <w:rPr>
          <w:rFonts w:cstheme="minorHAnsi"/>
        </w:rPr>
        <w:tab/>
      </w:r>
      <w:r>
        <w:rPr>
          <w:rFonts w:cstheme="minorHAnsi"/>
        </w:rPr>
        <w:tab/>
      </w:r>
      <w:r>
        <w:rPr>
          <w:rFonts w:cstheme="minorHAnsi"/>
        </w:rPr>
        <w:tab/>
      </w:r>
      <w:r>
        <w:rPr>
          <w:rFonts w:cstheme="minorHAnsi"/>
        </w:rPr>
        <w:tab/>
      </w:r>
      <w:r w:rsidR="00A560D7">
        <w:rPr>
          <w:rFonts w:cstheme="minorHAnsi"/>
        </w:rPr>
        <w:tab/>
      </w:r>
      <w:r w:rsidR="00360E8E">
        <w:rPr>
          <w:rFonts w:cstheme="minorHAnsi"/>
        </w:rPr>
        <w:t xml:space="preserve">Dentro del mismo marco, también se procurará </w:t>
      </w:r>
      <w:r w:rsidRPr="002924E2">
        <w:rPr>
          <w:rFonts w:cstheme="minorHAnsi"/>
        </w:rPr>
        <w:t>homogeneizar los documentos que elaboran</w:t>
      </w:r>
      <w:r w:rsidR="00360E8E">
        <w:rPr>
          <w:rFonts w:cstheme="minorHAnsi"/>
        </w:rPr>
        <w:t xml:space="preserve"> las Comisiones</w:t>
      </w:r>
      <w:r w:rsidRPr="002924E2">
        <w:rPr>
          <w:rFonts w:cstheme="minorHAnsi"/>
        </w:rPr>
        <w:t xml:space="preserve">, </w:t>
      </w:r>
      <w:r w:rsidR="0078248A">
        <w:rPr>
          <w:rFonts w:cstheme="minorHAnsi"/>
        </w:rPr>
        <w:t>principalmente los informes</w:t>
      </w:r>
      <w:r w:rsidRPr="002924E2">
        <w:rPr>
          <w:rFonts w:cstheme="minorHAnsi"/>
        </w:rPr>
        <w:t xml:space="preserve"> que dan cuenta de su trabajo, y permitir que se anticipe el conocimiento público de los mismos.</w:t>
      </w:r>
    </w:p>
    <w:p w:rsidR="00AF6F86" w:rsidRPr="002924E2" w:rsidRDefault="00AF6F86" w:rsidP="00AF6F86">
      <w:pPr>
        <w:autoSpaceDE w:val="0"/>
        <w:autoSpaceDN w:val="0"/>
        <w:adjustRightInd w:val="0"/>
        <w:spacing w:after="0" w:line="240" w:lineRule="auto"/>
        <w:jc w:val="both"/>
        <w:rPr>
          <w:rFonts w:cstheme="minorHAnsi"/>
        </w:rPr>
      </w:pPr>
    </w:p>
    <w:p w:rsidR="00AF6F86" w:rsidRPr="00DC655E" w:rsidRDefault="00AF6F86" w:rsidP="00AF6F86">
      <w:pPr>
        <w:spacing w:after="0" w:line="240" w:lineRule="auto"/>
        <w:jc w:val="both"/>
        <w:rPr>
          <w:rFonts w:cstheme="minorHAnsi"/>
          <w:b/>
        </w:rPr>
      </w:pPr>
      <w:r>
        <w:rPr>
          <w:rFonts w:cstheme="minorHAnsi"/>
          <w:b/>
        </w:rPr>
        <w:tab/>
      </w:r>
      <w:r>
        <w:rPr>
          <w:rFonts w:cstheme="minorHAnsi"/>
          <w:b/>
        </w:rPr>
        <w:tab/>
      </w:r>
      <w:r>
        <w:rPr>
          <w:rFonts w:cstheme="minorHAnsi"/>
          <w:b/>
        </w:rPr>
        <w:tab/>
      </w:r>
      <w:r>
        <w:rPr>
          <w:rFonts w:cstheme="minorHAnsi"/>
          <w:b/>
        </w:rPr>
        <w:tab/>
      </w:r>
      <w:r w:rsidR="00A560D7">
        <w:rPr>
          <w:rFonts w:cstheme="minorHAnsi"/>
          <w:b/>
        </w:rPr>
        <w:tab/>
      </w:r>
      <w:r w:rsidR="0078248A">
        <w:rPr>
          <w:rFonts w:cstheme="minorHAnsi"/>
          <w:b/>
        </w:rPr>
        <w:t>8</w:t>
      </w:r>
      <w:r w:rsidRPr="00DC655E">
        <w:rPr>
          <w:rFonts w:cstheme="minorHAnsi"/>
          <w:b/>
        </w:rPr>
        <w:t>.- Profundizar la separación entre la función parlamentaria y el ejercicio del lobby o gestión de intereses particulares.</w:t>
      </w:r>
    </w:p>
    <w:p w:rsidR="00AF6F86" w:rsidRDefault="00AF6F86" w:rsidP="00AF6F86">
      <w:pPr>
        <w:spacing w:after="0" w:line="240" w:lineRule="auto"/>
        <w:jc w:val="both"/>
        <w:rPr>
          <w:rFonts w:cstheme="minorHAnsi"/>
          <w:i/>
        </w:rPr>
      </w:pPr>
    </w:p>
    <w:p w:rsidR="00AF6F86" w:rsidRDefault="00AF6F86" w:rsidP="00AF6F86">
      <w:pPr>
        <w:spacing w:after="0" w:line="240" w:lineRule="auto"/>
        <w:jc w:val="both"/>
        <w:rPr>
          <w:rFonts w:eastAsiaTheme="minorEastAsia" w:cstheme="minorHAnsi"/>
          <w:lang w:eastAsia="zh-TW"/>
        </w:rPr>
      </w:pPr>
      <w:r>
        <w:rPr>
          <w:rFonts w:cstheme="minorHAnsi"/>
        </w:rPr>
        <w:tab/>
      </w:r>
      <w:r>
        <w:rPr>
          <w:rFonts w:cstheme="minorHAnsi"/>
        </w:rPr>
        <w:tab/>
      </w:r>
      <w:r>
        <w:rPr>
          <w:rFonts w:cstheme="minorHAnsi"/>
        </w:rPr>
        <w:tab/>
      </w:r>
      <w:r>
        <w:rPr>
          <w:rFonts w:cstheme="minorHAnsi"/>
        </w:rPr>
        <w:tab/>
      </w:r>
      <w:r w:rsidR="00A560D7">
        <w:rPr>
          <w:rFonts w:cstheme="minorHAnsi"/>
        </w:rPr>
        <w:tab/>
      </w:r>
      <w:r>
        <w:rPr>
          <w:rFonts w:eastAsiaTheme="minorEastAsia" w:cstheme="minorHAnsi"/>
          <w:lang w:eastAsia="zh-TW"/>
        </w:rPr>
        <w:t xml:space="preserve">La ley N° 20.730 </w:t>
      </w:r>
      <w:r w:rsidRPr="00874A9D">
        <w:rPr>
          <w:rFonts w:eastAsiaTheme="minorEastAsia" w:cstheme="minorHAnsi"/>
          <w:lang w:eastAsia="zh-TW"/>
        </w:rPr>
        <w:t>regul</w:t>
      </w:r>
      <w:r>
        <w:rPr>
          <w:rFonts w:eastAsiaTheme="minorEastAsia" w:cstheme="minorHAnsi"/>
          <w:lang w:eastAsia="zh-TW"/>
        </w:rPr>
        <w:t xml:space="preserve">a la publicidad </w:t>
      </w:r>
      <w:r w:rsidRPr="00874A9D">
        <w:rPr>
          <w:rFonts w:eastAsiaTheme="minorEastAsia" w:cstheme="minorHAnsi"/>
          <w:lang w:eastAsia="zh-TW"/>
        </w:rPr>
        <w:t>de</w:t>
      </w:r>
      <w:r>
        <w:rPr>
          <w:rFonts w:eastAsiaTheme="minorEastAsia" w:cstheme="minorHAnsi"/>
          <w:lang w:eastAsia="zh-TW"/>
        </w:rPr>
        <w:t>l</w:t>
      </w:r>
      <w:r w:rsidRPr="00874A9D">
        <w:rPr>
          <w:rFonts w:eastAsiaTheme="minorEastAsia" w:cstheme="minorHAnsi"/>
          <w:lang w:eastAsia="zh-TW"/>
        </w:rPr>
        <w:t xml:space="preserve"> lobby y de la gestión de intereses particulares </w:t>
      </w:r>
      <w:r>
        <w:rPr>
          <w:rFonts w:eastAsiaTheme="minorEastAsia" w:cstheme="minorHAnsi"/>
          <w:lang w:eastAsia="zh-TW"/>
        </w:rPr>
        <w:t xml:space="preserve">que realizan los sujetos activos respecto de los parlamentarios y otros sujetos pasivos,  quienes están obligados a consignar las reuniones o audiencias que celebren, los donativos que reciban y los </w:t>
      </w:r>
      <w:r w:rsidRPr="00874A9D">
        <w:rPr>
          <w:rFonts w:eastAsiaTheme="minorEastAsia" w:cstheme="minorHAnsi"/>
          <w:lang w:eastAsia="zh-TW"/>
        </w:rPr>
        <w:t>viajes</w:t>
      </w:r>
      <w:r>
        <w:rPr>
          <w:rFonts w:eastAsiaTheme="minorEastAsia" w:cstheme="minorHAnsi"/>
          <w:lang w:eastAsia="zh-TW"/>
        </w:rPr>
        <w:t xml:space="preserve"> que realicen.</w:t>
      </w:r>
    </w:p>
    <w:p w:rsidR="00AF6F86" w:rsidRPr="0035076E" w:rsidRDefault="00AF6F86" w:rsidP="00AF6F86">
      <w:pPr>
        <w:spacing w:after="0" w:line="240" w:lineRule="auto"/>
        <w:jc w:val="both"/>
        <w:rPr>
          <w:rFonts w:cstheme="minorHAnsi"/>
        </w:rPr>
      </w:pPr>
    </w:p>
    <w:p w:rsidR="00AF6F86" w:rsidRDefault="00AF6F86" w:rsidP="00AF6F86">
      <w:pPr>
        <w:autoSpaceDE w:val="0"/>
        <w:autoSpaceDN w:val="0"/>
        <w:adjustRightInd w:val="0"/>
        <w:spacing w:after="0" w:line="240" w:lineRule="auto"/>
        <w:jc w:val="both"/>
        <w:rPr>
          <w:rFonts w:cs="Courier"/>
        </w:rPr>
      </w:pPr>
      <w:r w:rsidRPr="0035076E">
        <w:rPr>
          <w:rFonts w:cstheme="minorHAnsi"/>
        </w:rPr>
        <w:tab/>
      </w:r>
      <w:r w:rsidRPr="0035076E">
        <w:rPr>
          <w:rFonts w:cstheme="minorHAnsi"/>
        </w:rPr>
        <w:tab/>
      </w:r>
      <w:r w:rsidRPr="0035076E">
        <w:rPr>
          <w:rFonts w:cstheme="minorHAnsi"/>
        </w:rPr>
        <w:tab/>
      </w:r>
      <w:r w:rsidRPr="0035076E">
        <w:rPr>
          <w:rFonts w:cstheme="minorHAnsi"/>
        </w:rPr>
        <w:tab/>
      </w:r>
      <w:r w:rsidR="00A560D7">
        <w:rPr>
          <w:rFonts w:cstheme="minorHAnsi"/>
        </w:rPr>
        <w:tab/>
      </w:r>
      <w:r w:rsidRPr="0035076E">
        <w:rPr>
          <w:rFonts w:cstheme="minorHAnsi"/>
        </w:rPr>
        <w:t>Las personas que ejercen la actividad de lobby o gestión de intereses particulares realizan la promoción, defensa o representación de tales intereses determinados</w:t>
      </w:r>
      <w:r w:rsidRPr="0035076E">
        <w:rPr>
          <w:rFonts w:cs="Courier"/>
        </w:rPr>
        <w:t>, que la ley define como “cualquier propósito o beneficio, sean o no de carácter económico, de una persona natural o jurídica, chilena o extranjera, o de una asociación o entidad determinada”.</w:t>
      </w:r>
    </w:p>
    <w:p w:rsidR="00AF6F86" w:rsidRPr="007330DF" w:rsidRDefault="00AF6F86" w:rsidP="00AF6F86">
      <w:pPr>
        <w:spacing w:after="0" w:line="240" w:lineRule="auto"/>
        <w:jc w:val="both"/>
        <w:rPr>
          <w:rFonts w:cstheme="minorHAnsi"/>
        </w:rPr>
      </w:pPr>
    </w:p>
    <w:p w:rsidR="00AF6F86" w:rsidRDefault="00AF6F86" w:rsidP="00AF6F86">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sidR="00A560D7">
        <w:rPr>
          <w:rFonts w:cstheme="minorHAnsi"/>
        </w:rPr>
        <w:tab/>
      </w:r>
      <w:r>
        <w:rPr>
          <w:rFonts w:cstheme="minorHAnsi"/>
        </w:rPr>
        <w:t>La actual normativa no diferencia suficien</w:t>
      </w:r>
      <w:r w:rsidR="00360E8E">
        <w:rPr>
          <w:rFonts w:cstheme="minorHAnsi"/>
        </w:rPr>
        <w:t>temente tal conflicto de intereses</w:t>
      </w:r>
      <w:r>
        <w:rPr>
          <w:rFonts w:cstheme="minorHAnsi"/>
        </w:rPr>
        <w:t>, que se produce al menos en dos casos. Por una parte, respecto de los parlamentarios que cesen en sus cargos y, por otra, respecto del personal que las Cámaras han contratado para que colaboren con los parlamentarios en el ejercicio de su función pública.</w:t>
      </w:r>
    </w:p>
    <w:p w:rsidR="00AF6F86" w:rsidRDefault="00AF6F86" w:rsidP="00AF6F86">
      <w:pPr>
        <w:spacing w:after="0" w:line="240" w:lineRule="auto"/>
        <w:jc w:val="both"/>
        <w:rPr>
          <w:rFonts w:cstheme="minorHAnsi"/>
        </w:rPr>
      </w:pPr>
    </w:p>
    <w:p w:rsidR="00985716" w:rsidRPr="00AC6703" w:rsidRDefault="00985716" w:rsidP="00AC6703">
      <w:pPr>
        <w:spacing w:after="0" w:line="240" w:lineRule="auto"/>
        <w:ind w:right="-28"/>
        <w:jc w:val="both"/>
        <w:rPr>
          <w:rFonts w:cstheme="minorHAnsi"/>
          <w:b/>
        </w:rPr>
      </w:pPr>
      <w:r w:rsidRPr="00AC6703">
        <w:rPr>
          <w:rFonts w:cstheme="minorHAnsi"/>
        </w:rPr>
        <w:tab/>
      </w:r>
      <w:r w:rsidRPr="00AC6703">
        <w:rPr>
          <w:rFonts w:cstheme="minorHAnsi"/>
        </w:rPr>
        <w:tab/>
      </w:r>
      <w:r w:rsidRPr="00AC6703">
        <w:rPr>
          <w:rFonts w:cstheme="minorHAnsi"/>
        </w:rPr>
        <w:tab/>
      </w:r>
      <w:r w:rsidRPr="00AC6703">
        <w:rPr>
          <w:rFonts w:cstheme="minorHAnsi"/>
        </w:rPr>
        <w:tab/>
      </w:r>
      <w:r w:rsidRPr="00AC6703">
        <w:rPr>
          <w:rFonts w:cstheme="minorHAnsi"/>
        </w:rPr>
        <w:tab/>
      </w:r>
      <w:r w:rsidRPr="00AC6703">
        <w:rPr>
          <w:rFonts w:cstheme="minorHAnsi"/>
          <w:b/>
        </w:rPr>
        <w:t>9.- Incrementar las materias propias del Congreso Nacional comprendidas dentro de la obligación de transparencia activa.</w:t>
      </w:r>
    </w:p>
    <w:p w:rsidR="009C3753" w:rsidRPr="00AC6703" w:rsidRDefault="009C3753" w:rsidP="00AC6703">
      <w:pPr>
        <w:spacing w:after="0" w:line="240" w:lineRule="auto"/>
        <w:ind w:right="-28"/>
        <w:jc w:val="both"/>
        <w:rPr>
          <w:rFonts w:cstheme="minorHAnsi"/>
        </w:rPr>
      </w:pPr>
    </w:p>
    <w:p w:rsidR="00985716" w:rsidRPr="00AC6703" w:rsidRDefault="009C3753" w:rsidP="00943E39">
      <w:pPr>
        <w:tabs>
          <w:tab w:val="left" w:pos="2835"/>
        </w:tabs>
        <w:spacing w:after="0" w:line="240" w:lineRule="auto"/>
        <w:jc w:val="both"/>
        <w:rPr>
          <w:rFonts w:cstheme="minorHAnsi"/>
          <w:lang w:val="es-ES"/>
        </w:rPr>
      </w:pPr>
      <w:r w:rsidRPr="00AC6703">
        <w:rPr>
          <w:rFonts w:cstheme="minorHAnsi"/>
        </w:rPr>
        <w:lastRenderedPageBreak/>
        <w:tab/>
      </w:r>
      <w:r w:rsidRPr="00AC6703">
        <w:rPr>
          <w:rFonts w:cstheme="minorHAnsi"/>
        </w:rPr>
        <w:tab/>
        <w:t xml:space="preserve">El </w:t>
      </w:r>
      <w:r w:rsidRPr="00AC6703">
        <w:rPr>
          <w:rFonts w:cstheme="minorHAnsi"/>
          <w:lang w:val="es-ES"/>
        </w:rPr>
        <w:t xml:space="preserve"> artículo sexto de la ley N° 20.285, sobre acceso a la información pública, establece que el</w:t>
      </w:r>
      <w:r w:rsidR="00985716" w:rsidRPr="00AC6703">
        <w:rPr>
          <w:rFonts w:eastAsia="Times New Roman" w:cs="Courier New"/>
          <w:lang w:eastAsia="es-CL"/>
        </w:rPr>
        <w:t xml:space="preserve"> Congreso Nacional se rige por el principio de la transparencia en el </w:t>
      </w:r>
      <w:r w:rsidRPr="00AC6703">
        <w:rPr>
          <w:rFonts w:eastAsia="Times New Roman" w:cs="Courier New"/>
          <w:lang w:eastAsia="es-CL"/>
        </w:rPr>
        <w:t>ejercicio de la función pública. Acto seguido, dispone que l</w:t>
      </w:r>
      <w:r w:rsidR="00985716" w:rsidRPr="00AC6703">
        <w:rPr>
          <w:rFonts w:eastAsia="Times New Roman" w:cs="Courier New"/>
          <w:lang w:eastAsia="es-CL"/>
        </w:rPr>
        <w:t xml:space="preserve">as Cámaras deberán dar cumplimiento a lo dispuesto en el artículo 7º de la Ley de Transparencia de la Función Pública y Acceso a la Información de la Administración del Estado, en lo </w:t>
      </w:r>
      <w:r w:rsidRPr="00AC6703">
        <w:rPr>
          <w:rFonts w:eastAsia="Times New Roman" w:cs="Courier New"/>
          <w:lang w:eastAsia="es-CL"/>
        </w:rPr>
        <w:t xml:space="preserve">pertinente y </w:t>
      </w:r>
      <w:r w:rsidRPr="00AC6703">
        <w:rPr>
          <w:rFonts w:cstheme="minorHAnsi"/>
          <w:lang w:val="es-ES"/>
        </w:rPr>
        <w:t>d</w:t>
      </w:r>
      <w:proofErr w:type="spellStart"/>
      <w:r w:rsidR="00985716" w:rsidRPr="00AC6703">
        <w:rPr>
          <w:rFonts w:eastAsia="Times New Roman" w:cs="Courier New"/>
          <w:lang w:eastAsia="es-CL"/>
        </w:rPr>
        <w:t>eberán</w:t>
      </w:r>
      <w:proofErr w:type="spellEnd"/>
      <w:r w:rsidR="00985716" w:rsidRPr="00AC6703">
        <w:rPr>
          <w:rFonts w:eastAsia="Times New Roman" w:cs="Courier New"/>
          <w:lang w:eastAsia="es-CL"/>
        </w:rPr>
        <w:t xml:space="preserve"> especialmente publicar, además, la asistencia de los parlamentarios a las sesiones de Sala y de comisiones, las votaciones y elecciones a las que concurran y las dietas y demás asignaciones que perciban.</w:t>
      </w:r>
    </w:p>
    <w:p w:rsidR="008C72AD" w:rsidRDefault="008C72AD" w:rsidP="00943E39">
      <w:pPr>
        <w:widowControl w:val="0"/>
        <w:autoSpaceDE w:val="0"/>
        <w:autoSpaceDN w:val="0"/>
        <w:adjustRightInd w:val="0"/>
        <w:spacing w:after="0" w:line="240" w:lineRule="auto"/>
        <w:jc w:val="both"/>
        <w:rPr>
          <w:rFonts w:eastAsia="Times New Roman" w:cs="Courier New"/>
          <w:lang w:val="es-ES" w:eastAsia="es-CL"/>
        </w:rPr>
      </w:pPr>
    </w:p>
    <w:p w:rsidR="00386C27" w:rsidRDefault="009C3753" w:rsidP="00386C27">
      <w:pPr>
        <w:widowControl w:val="0"/>
        <w:autoSpaceDE w:val="0"/>
        <w:autoSpaceDN w:val="0"/>
        <w:adjustRightInd w:val="0"/>
        <w:spacing w:after="0" w:line="240" w:lineRule="auto"/>
        <w:jc w:val="both"/>
        <w:rPr>
          <w:rFonts w:eastAsia="Times New Roman" w:cs="Courier New"/>
          <w:lang w:val="es-ES" w:eastAsia="es-CL"/>
        </w:rPr>
      </w:pPr>
      <w:r w:rsidRPr="008C72AD">
        <w:rPr>
          <w:rFonts w:eastAsia="Times New Roman" w:cs="Courier New"/>
          <w:lang w:val="es-ES" w:eastAsia="es-CL"/>
        </w:rPr>
        <w:tab/>
      </w:r>
      <w:r w:rsidRPr="008C72AD">
        <w:rPr>
          <w:rFonts w:eastAsia="Times New Roman" w:cs="Courier New"/>
          <w:lang w:val="es-ES" w:eastAsia="es-CL"/>
        </w:rPr>
        <w:tab/>
      </w:r>
      <w:r w:rsidRPr="008C72AD">
        <w:rPr>
          <w:rFonts w:eastAsia="Times New Roman" w:cs="Courier New"/>
          <w:lang w:val="es-ES" w:eastAsia="es-CL"/>
        </w:rPr>
        <w:tab/>
      </w:r>
      <w:r w:rsidRPr="008C72AD">
        <w:rPr>
          <w:rFonts w:eastAsia="Times New Roman" w:cs="Courier New"/>
          <w:lang w:val="es-ES" w:eastAsia="es-CL"/>
        </w:rPr>
        <w:tab/>
      </w:r>
      <w:r w:rsidR="00943E39">
        <w:rPr>
          <w:rFonts w:eastAsia="Times New Roman" w:cs="Courier New"/>
          <w:lang w:val="es-ES" w:eastAsia="es-CL"/>
        </w:rPr>
        <w:tab/>
      </w:r>
      <w:r w:rsidR="008C72AD" w:rsidRPr="008C72AD">
        <w:rPr>
          <w:rFonts w:eastAsia="Times New Roman" w:cs="Courier New"/>
          <w:lang w:val="es-ES" w:eastAsia="es-CL"/>
        </w:rPr>
        <w:t xml:space="preserve">Como un paso más en la política de transparencia del Congreso Nacional, que lo destaca en el ámbito parlamentario internacional, se propone </w:t>
      </w:r>
      <w:r w:rsidRPr="008C72AD">
        <w:rPr>
          <w:rFonts w:eastAsia="Times New Roman" w:cs="Courier New"/>
          <w:lang w:val="es-ES" w:eastAsia="es-CL"/>
        </w:rPr>
        <w:t>agregar</w:t>
      </w:r>
      <w:r w:rsidR="008C72AD" w:rsidRPr="008C72AD">
        <w:rPr>
          <w:rFonts w:eastAsia="Times New Roman" w:cs="Courier New"/>
          <w:lang w:val="es-ES" w:eastAsia="es-CL"/>
        </w:rPr>
        <w:t xml:space="preserve"> mayor información  a la </w:t>
      </w:r>
      <w:r w:rsidRPr="008C72AD">
        <w:rPr>
          <w:rFonts w:eastAsia="Times New Roman" w:cs="Courier New"/>
          <w:lang w:val="es-ES" w:eastAsia="es-CL"/>
        </w:rPr>
        <w:t>que se estableció en el referido artículo sexto el año 2008, en que se publicó el me</w:t>
      </w:r>
      <w:r w:rsidR="00386C27">
        <w:rPr>
          <w:rFonts w:eastAsia="Times New Roman" w:cs="Courier New"/>
          <w:lang w:val="es-ES" w:eastAsia="es-CL"/>
        </w:rPr>
        <w:t>ncionado cuerpo normativo</w:t>
      </w:r>
      <w:r w:rsidRPr="008C72AD">
        <w:rPr>
          <w:rFonts w:eastAsia="Times New Roman" w:cs="Courier New"/>
          <w:lang w:val="es-ES" w:eastAsia="es-CL"/>
        </w:rPr>
        <w:t xml:space="preserve">. </w:t>
      </w:r>
    </w:p>
    <w:p w:rsidR="00386C27" w:rsidRDefault="00386C27" w:rsidP="00386C27">
      <w:pPr>
        <w:widowControl w:val="0"/>
        <w:autoSpaceDE w:val="0"/>
        <w:autoSpaceDN w:val="0"/>
        <w:adjustRightInd w:val="0"/>
        <w:spacing w:after="0" w:line="240" w:lineRule="auto"/>
        <w:jc w:val="both"/>
        <w:rPr>
          <w:rFonts w:eastAsia="Times New Roman" w:cs="Courier New"/>
          <w:lang w:val="es-ES" w:eastAsia="es-CL"/>
        </w:rPr>
      </w:pPr>
    </w:p>
    <w:p w:rsidR="00943E39" w:rsidRPr="00943E39" w:rsidRDefault="00943E39" w:rsidP="00943E39">
      <w:pPr>
        <w:widowControl w:val="0"/>
        <w:autoSpaceDE w:val="0"/>
        <w:autoSpaceDN w:val="0"/>
        <w:adjustRightInd w:val="0"/>
        <w:spacing w:after="0" w:line="240" w:lineRule="auto"/>
        <w:jc w:val="both"/>
        <w:rPr>
          <w:lang w:val="es-ES_tradnl"/>
        </w:rPr>
      </w:pPr>
    </w:p>
    <w:p w:rsidR="00AF6F86" w:rsidRDefault="00AF6F86" w:rsidP="00943E39">
      <w:pPr>
        <w:spacing w:after="0" w:line="240" w:lineRule="auto"/>
        <w:ind w:right="-28"/>
        <w:jc w:val="both"/>
        <w:rPr>
          <w:rFonts w:cstheme="minorHAnsi"/>
          <w:b/>
        </w:rPr>
      </w:pPr>
      <w:r>
        <w:rPr>
          <w:rFonts w:cstheme="minorHAnsi"/>
          <w:b/>
        </w:rPr>
        <w:tab/>
      </w:r>
      <w:r>
        <w:rPr>
          <w:rFonts w:cstheme="minorHAnsi"/>
          <w:b/>
        </w:rPr>
        <w:tab/>
      </w:r>
      <w:r>
        <w:rPr>
          <w:rFonts w:cstheme="minorHAnsi"/>
          <w:b/>
        </w:rPr>
        <w:tab/>
      </w:r>
      <w:r w:rsidR="00A560D7">
        <w:rPr>
          <w:rFonts w:cstheme="minorHAnsi"/>
          <w:b/>
        </w:rPr>
        <w:tab/>
      </w:r>
      <w:r w:rsidR="00A560D7">
        <w:rPr>
          <w:rFonts w:cstheme="minorHAnsi"/>
          <w:b/>
        </w:rPr>
        <w:tab/>
      </w:r>
      <w:r>
        <w:rPr>
          <w:rFonts w:cstheme="minorHAnsi"/>
          <w:b/>
        </w:rPr>
        <w:t>II.- Perfeccionamiento orgánico y procesal.</w:t>
      </w:r>
    </w:p>
    <w:p w:rsidR="00AF6F86" w:rsidRPr="00DC655E" w:rsidRDefault="00AF6F86" w:rsidP="00943E39">
      <w:pPr>
        <w:spacing w:after="0" w:line="240" w:lineRule="auto"/>
        <w:ind w:right="-28"/>
        <w:jc w:val="both"/>
        <w:rPr>
          <w:rFonts w:cstheme="minorHAnsi"/>
        </w:rPr>
      </w:pPr>
    </w:p>
    <w:p w:rsidR="00C4224D" w:rsidRDefault="00AF6F86" w:rsidP="00943E39">
      <w:pPr>
        <w:spacing w:after="0" w:line="240" w:lineRule="auto"/>
        <w:ind w:right="-28"/>
        <w:jc w:val="both"/>
        <w:rPr>
          <w:rFonts w:cstheme="minorHAnsi"/>
        </w:rPr>
      </w:pPr>
      <w:r w:rsidRPr="00DC655E">
        <w:rPr>
          <w:rFonts w:cstheme="minorHAnsi"/>
        </w:rPr>
        <w:tab/>
      </w:r>
      <w:r w:rsidRPr="00DC655E">
        <w:rPr>
          <w:rFonts w:cstheme="minorHAnsi"/>
        </w:rPr>
        <w:tab/>
      </w:r>
      <w:r w:rsidRPr="00DC655E">
        <w:rPr>
          <w:rFonts w:cstheme="minorHAnsi"/>
        </w:rPr>
        <w:tab/>
      </w:r>
      <w:r w:rsidR="00A560D7">
        <w:rPr>
          <w:rFonts w:cstheme="minorHAnsi"/>
        </w:rPr>
        <w:tab/>
      </w:r>
      <w:r w:rsidR="00AC6703">
        <w:rPr>
          <w:rFonts w:cstheme="minorHAnsi"/>
        </w:rPr>
        <w:tab/>
      </w:r>
      <w:r w:rsidR="00C4224D">
        <w:rPr>
          <w:rFonts w:cstheme="minorHAnsi"/>
        </w:rPr>
        <w:t>En</w:t>
      </w:r>
      <w:r w:rsidRPr="00DC655E">
        <w:rPr>
          <w:rFonts w:cstheme="minorHAnsi"/>
        </w:rPr>
        <w:t xml:space="preserve"> esta materia </w:t>
      </w:r>
      <w:r w:rsidR="00386C27">
        <w:rPr>
          <w:rFonts w:cstheme="minorHAnsi"/>
        </w:rPr>
        <w:t>se plantean cuatro</w:t>
      </w:r>
      <w:r w:rsidR="00C4224D">
        <w:rPr>
          <w:rFonts w:cstheme="minorHAnsi"/>
        </w:rPr>
        <w:t xml:space="preserve"> ideas fundamentales.</w:t>
      </w:r>
    </w:p>
    <w:p w:rsidR="00C4224D" w:rsidRDefault="00C4224D" w:rsidP="00943E39">
      <w:pPr>
        <w:spacing w:after="0" w:line="240" w:lineRule="auto"/>
        <w:ind w:right="-28"/>
        <w:jc w:val="both"/>
        <w:rPr>
          <w:rFonts w:cstheme="minorHAnsi"/>
        </w:rPr>
      </w:pPr>
    </w:p>
    <w:p w:rsidR="00AF6F86" w:rsidRPr="00C4224D" w:rsidRDefault="00C4224D" w:rsidP="00AF6F86">
      <w:pPr>
        <w:spacing w:after="0" w:line="240" w:lineRule="auto"/>
        <w:ind w:right="-28"/>
        <w:jc w:val="both"/>
        <w:rPr>
          <w:rFonts w:cstheme="minorHAnsi"/>
          <w:b/>
        </w:rPr>
      </w:pPr>
      <w:r>
        <w:rPr>
          <w:rFonts w:cstheme="minorHAnsi"/>
        </w:rPr>
        <w:tab/>
      </w:r>
      <w:r>
        <w:rPr>
          <w:rFonts w:cstheme="minorHAnsi"/>
        </w:rPr>
        <w:tab/>
      </w:r>
      <w:r>
        <w:rPr>
          <w:rFonts w:cstheme="minorHAnsi"/>
        </w:rPr>
        <w:tab/>
      </w:r>
      <w:r>
        <w:rPr>
          <w:rFonts w:cstheme="minorHAnsi"/>
        </w:rPr>
        <w:tab/>
      </w:r>
      <w:r>
        <w:rPr>
          <w:rFonts w:cstheme="minorHAnsi"/>
        </w:rPr>
        <w:tab/>
      </w:r>
      <w:r w:rsidRPr="00C4224D">
        <w:rPr>
          <w:rFonts w:cstheme="minorHAnsi"/>
          <w:b/>
        </w:rPr>
        <w:t xml:space="preserve">1.- Sistematizar </w:t>
      </w:r>
      <w:r w:rsidRPr="00C4224D">
        <w:rPr>
          <w:rFonts w:eastAsiaTheme="majorEastAsia" w:cstheme="minorHAnsi"/>
          <w:b/>
          <w:bCs/>
        </w:rPr>
        <w:t xml:space="preserve">las normas sobre probidad y transparencia en un Título especial de la Ley Orgánica Constitucional del Congreso Nacional. </w:t>
      </w:r>
    </w:p>
    <w:p w:rsidR="00AF6F86" w:rsidRPr="00DC655E" w:rsidRDefault="00AF6F86" w:rsidP="00AF6F86">
      <w:pPr>
        <w:spacing w:after="0" w:line="240" w:lineRule="auto"/>
        <w:ind w:right="-28"/>
        <w:jc w:val="both"/>
        <w:rPr>
          <w:rFonts w:cstheme="minorHAnsi"/>
        </w:rPr>
      </w:pPr>
    </w:p>
    <w:p w:rsidR="00AF6F86" w:rsidRDefault="00AF6F86" w:rsidP="00AF6F86">
      <w:pPr>
        <w:spacing w:after="0" w:line="240" w:lineRule="auto"/>
        <w:jc w:val="both"/>
        <w:rPr>
          <w:rFonts w:eastAsiaTheme="majorEastAsia" w:cstheme="minorHAnsi"/>
          <w:bCs/>
        </w:rPr>
      </w:pPr>
      <w:r>
        <w:rPr>
          <w:rFonts w:eastAsiaTheme="majorEastAsia" w:cstheme="minorHAnsi"/>
          <w:bCs/>
        </w:rPr>
        <w:tab/>
      </w:r>
      <w:r>
        <w:rPr>
          <w:rFonts w:eastAsiaTheme="majorEastAsia" w:cstheme="minorHAnsi"/>
          <w:bCs/>
        </w:rPr>
        <w:tab/>
      </w:r>
      <w:r>
        <w:rPr>
          <w:rFonts w:eastAsiaTheme="majorEastAsia" w:cstheme="minorHAnsi"/>
          <w:bCs/>
        </w:rPr>
        <w:tab/>
      </w:r>
      <w:r w:rsidR="00A560D7">
        <w:rPr>
          <w:rFonts w:eastAsiaTheme="majorEastAsia" w:cstheme="minorHAnsi"/>
          <w:bCs/>
        </w:rPr>
        <w:tab/>
      </w:r>
      <w:r w:rsidR="00A560D7">
        <w:rPr>
          <w:rFonts w:eastAsiaTheme="majorEastAsia" w:cstheme="minorHAnsi"/>
          <w:bCs/>
        </w:rPr>
        <w:tab/>
      </w:r>
      <w:r>
        <w:rPr>
          <w:rFonts w:eastAsiaTheme="majorEastAsia" w:cstheme="minorHAnsi"/>
          <w:bCs/>
        </w:rPr>
        <w:t>Este propósito no obedece sólo a la mayor relevancia que se estima convenient</w:t>
      </w:r>
      <w:r w:rsidR="008C2957">
        <w:rPr>
          <w:rFonts w:eastAsiaTheme="majorEastAsia" w:cstheme="minorHAnsi"/>
          <w:bCs/>
        </w:rPr>
        <w:t>e asignarles, sino a la conveniencia de</w:t>
      </w:r>
      <w:r>
        <w:rPr>
          <w:rFonts w:eastAsiaTheme="majorEastAsia" w:cstheme="minorHAnsi"/>
          <w:bCs/>
        </w:rPr>
        <w:t xml:space="preserve"> coordinar las disposiciones legales que se refieren al Congreso Nacional en cuerpos normativos específicos con las reglas propias de ambas Corporaciones, </w:t>
      </w:r>
      <w:r w:rsidR="008C2957">
        <w:rPr>
          <w:rFonts w:eastAsiaTheme="majorEastAsia" w:cstheme="minorHAnsi"/>
          <w:bCs/>
        </w:rPr>
        <w:t xml:space="preserve"> las </w:t>
      </w:r>
      <w:r>
        <w:rPr>
          <w:rFonts w:eastAsiaTheme="majorEastAsia" w:cstheme="minorHAnsi"/>
          <w:bCs/>
        </w:rPr>
        <w:t>que se revisan, complementan y adicionan con nuevos preceptos c</w:t>
      </w:r>
      <w:r w:rsidR="00281F5A">
        <w:rPr>
          <w:rFonts w:eastAsiaTheme="majorEastAsia" w:cstheme="minorHAnsi"/>
          <w:bCs/>
        </w:rPr>
        <w:t>omunes</w:t>
      </w:r>
      <w:r>
        <w:rPr>
          <w:rFonts w:eastAsiaTheme="majorEastAsia" w:cstheme="minorHAnsi"/>
          <w:bCs/>
        </w:rPr>
        <w:t>.</w:t>
      </w:r>
    </w:p>
    <w:p w:rsidR="00AF6F86" w:rsidRDefault="00AF6F86" w:rsidP="00AF6F86">
      <w:pPr>
        <w:spacing w:after="0" w:line="240" w:lineRule="auto"/>
        <w:jc w:val="both"/>
        <w:rPr>
          <w:rFonts w:eastAsiaTheme="majorEastAsia" w:cstheme="minorHAnsi"/>
          <w:bCs/>
        </w:rPr>
      </w:pPr>
    </w:p>
    <w:p w:rsidR="00AF6F86" w:rsidRDefault="00AF6F86" w:rsidP="00AF6F86">
      <w:pPr>
        <w:spacing w:after="0" w:line="240" w:lineRule="auto"/>
        <w:jc w:val="both"/>
        <w:rPr>
          <w:rFonts w:eastAsiaTheme="majorEastAsia" w:cstheme="minorHAnsi"/>
          <w:bCs/>
        </w:rPr>
      </w:pPr>
      <w:r>
        <w:rPr>
          <w:rFonts w:eastAsiaTheme="majorEastAsia" w:cstheme="minorHAnsi"/>
          <w:bCs/>
        </w:rPr>
        <w:tab/>
      </w:r>
      <w:r>
        <w:rPr>
          <w:rFonts w:eastAsiaTheme="majorEastAsia" w:cstheme="minorHAnsi"/>
          <w:bCs/>
        </w:rPr>
        <w:tab/>
      </w:r>
      <w:r>
        <w:rPr>
          <w:rFonts w:eastAsiaTheme="majorEastAsia" w:cstheme="minorHAnsi"/>
          <w:bCs/>
        </w:rPr>
        <w:tab/>
      </w:r>
      <w:r w:rsidR="00A560D7">
        <w:rPr>
          <w:rFonts w:eastAsiaTheme="majorEastAsia" w:cstheme="minorHAnsi"/>
          <w:bCs/>
        </w:rPr>
        <w:tab/>
      </w:r>
      <w:r w:rsidR="00A560D7">
        <w:rPr>
          <w:rFonts w:eastAsiaTheme="majorEastAsia" w:cstheme="minorHAnsi"/>
          <w:bCs/>
        </w:rPr>
        <w:tab/>
      </w:r>
      <w:r w:rsidR="008C2957">
        <w:rPr>
          <w:rFonts w:eastAsiaTheme="majorEastAsia" w:cstheme="minorHAnsi"/>
          <w:bCs/>
        </w:rPr>
        <w:t>Esta sistematización</w:t>
      </w:r>
      <w:r w:rsidR="0078248A">
        <w:rPr>
          <w:rFonts w:eastAsiaTheme="majorEastAsia" w:cstheme="minorHAnsi"/>
          <w:bCs/>
        </w:rPr>
        <w:t xml:space="preserve"> </w:t>
      </w:r>
      <w:r w:rsidR="00BB019E">
        <w:rPr>
          <w:rFonts w:eastAsiaTheme="majorEastAsia" w:cstheme="minorHAnsi"/>
          <w:bCs/>
        </w:rPr>
        <w:t>facilitará</w:t>
      </w:r>
      <w:r w:rsidR="008C2957">
        <w:rPr>
          <w:rFonts w:eastAsiaTheme="majorEastAsia" w:cstheme="minorHAnsi"/>
          <w:bCs/>
        </w:rPr>
        <w:t>, además, que las materias que luego se desarrollen</w:t>
      </w:r>
      <w:r>
        <w:rPr>
          <w:rFonts w:eastAsiaTheme="majorEastAsia" w:cstheme="minorHAnsi"/>
          <w:bCs/>
        </w:rPr>
        <w:t xml:space="preserve"> mediante la reglamenta</w:t>
      </w:r>
      <w:r w:rsidR="008C2957">
        <w:rPr>
          <w:rFonts w:eastAsiaTheme="majorEastAsia" w:cstheme="minorHAnsi"/>
          <w:bCs/>
        </w:rPr>
        <w:t>ción propia de cada Cámara</w:t>
      </w:r>
      <w:r>
        <w:rPr>
          <w:rFonts w:eastAsiaTheme="majorEastAsia" w:cstheme="minorHAnsi"/>
          <w:bCs/>
        </w:rPr>
        <w:t xml:space="preserve"> descanse</w:t>
      </w:r>
      <w:r w:rsidR="008C2957">
        <w:rPr>
          <w:rFonts w:eastAsiaTheme="majorEastAsia" w:cstheme="minorHAnsi"/>
          <w:bCs/>
        </w:rPr>
        <w:t>n</w:t>
      </w:r>
      <w:r>
        <w:rPr>
          <w:rFonts w:eastAsiaTheme="majorEastAsia" w:cstheme="minorHAnsi"/>
          <w:bCs/>
        </w:rPr>
        <w:t xml:space="preserve"> sobre una misma base normativa.  </w:t>
      </w:r>
    </w:p>
    <w:p w:rsidR="00AF6F86" w:rsidRDefault="00AF6F86" w:rsidP="00AF6F86">
      <w:pPr>
        <w:spacing w:after="0" w:line="240" w:lineRule="auto"/>
        <w:ind w:right="-28"/>
        <w:jc w:val="both"/>
        <w:rPr>
          <w:rFonts w:cstheme="minorHAnsi"/>
          <w:b/>
        </w:rPr>
      </w:pPr>
    </w:p>
    <w:p w:rsidR="00AF6F86" w:rsidRDefault="00AF6F86" w:rsidP="00AF6F86">
      <w:pPr>
        <w:spacing w:after="0" w:line="240" w:lineRule="auto"/>
        <w:ind w:right="-28"/>
        <w:jc w:val="both"/>
        <w:rPr>
          <w:rFonts w:cstheme="minorHAnsi"/>
          <w:b/>
        </w:rPr>
      </w:pPr>
      <w:r>
        <w:rPr>
          <w:rFonts w:cstheme="minorHAnsi"/>
          <w:b/>
        </w:rPr>
        <w:tab/>
      </w:r>
      <w:r>
        <w:rPr>
          <w:rFonts w:cstheme="minorHAnsi"/>
          <w:b/>
        </w:rPr>
        <w:tab/>
      </w:r>
      <w:r>
        <w:rPr>
          <w:rFonts w:cstheme="minorHAnsi"/>
          <w:b/>
        </w:rPr>
        <w:tab/>
      </w:r>
      <w:r w:rsidR="00A560D7">
        <w:rPr>
          <w:rFonts w:cstheme="minorHAnsi"/>
          <w:b/>
        </w:rPr>
        <w:tab/>
      </w:r>
      <w:r w:rsidR="00A560D7">
        <w:rPr>
          <w:rFonts w:cstheme="minorHAnsi"/>
          <w:b/>
        </w:rPr>
        <w:tab/>
      </w:r>
      <w:r w:rsidR="00BB019E">
        <w:rPr>
          <w:rFonts w:cstheme="minorHAnsi"/>
          <w:b/>
        </w:rPr>
        <w:t>2</w:t>
      </w:r>
      <w:r>
        <w:rPr>
          <w:rFonts w:cstheme="minorHAnsi"/>
          <w:b/>
        </w:rPr>
        <w:t>.- Robustecer a las Comisiones de Ética y Transparencia.</w:t>
      </w:r>
    </w:p>
    <w:p w:rsidR="00AF6F86" w:rsidRDefault="00AF6F86" w:rsidP="00AF6F86">
      <w:pPr>
        <w:spacing w:after="0" w:line="240" w:lineRule="auto"/>
        <w:ind w:right="-28"/>
        <w:jc w:val="both"/>
        <w:rPr>
          <w:rFonts w:cstheme="minorHAnsi"/>
          <w:b/>
        </w:rPr>
      </w:pPr>
    </w:p>
    <w:p w:rsidR="00AF6F86" w:rsidRDefault="00AF6F86" w:rsidP="00AF6F86">
      <w:pPr>
        <w:spacing w:after="0" w:line="240" w:lineRule="auto"/>
        <w:ind w:right="-28"/>
        <w:jc w:val="both"/>
      </w:pPr>
      <w:r>
        <w:rPr>
          <w:rFonts w:cstheme="minorHAnsi"/>
          <w:b/>
        </w:rPr>
        <w:tab/>
      </w:r>
      <w:r>
        <w:rPr>
          <w:rFonts w:cstheme="minorHAnsi"/>
          <w:b/>
        </w:rPr>
        <w:tab/>
      </w:r>
      <w:r>
        <w:rPr>
          <w:rFonts w:cstheme="minorHAnsi"/>
          <w:b/>
        </w:rPr>
        <w:tab/>
      </w:r>
      <w:r w:rsidR="00A560D7">
        <w:rPr>
          <w:rFonts w:cstheme="minorHAnsi"/>
          <w:b/>
        </w:rPr>
        <w:tab/>
      </w:r>
      <w:r w:rsidR="00A560D7">
        <w:rPr>
          <w:rFonts w:cstheme="minorHAnsi"/>
          <w:b/>
        </w:rPr>
        <w:tab/>
      </w:r>
      <w:r w:rsidRPr="00701CFC">
        <w:rPr>
          <w:rFonts w:cstheme="minorHAnsi"/>
        </w:rPr>
        <w:t>Se propone</w:t>
      </w:r>
      <w:r>
        <w:rPr>
          <w:rFonts w:cstheme="minorHAnsi"/>
          <w:b/>
        </w:rPr>
        <w:t xml:space="preserve"> </w:t>
      </w:r>
      <w:r>
        <w:t>sistematizar y desarrollar en mayor medida la competencia de la Comisión de Ética y Transparencia, que ha sido ampliada por diversas leyes, e incluir en forma expresa la posibilidad de emitir recomendaciones o instrucciones sobre buenas prácticas parlamentarias.</w:t>
      </w:r>
    </w:p>
    <w:p w:rsidR="00AF6F86" w:rsidRDefault="00AF6F86" w:rsidP="00AF6F86">
      <w:pPr>
        <w:spacing w:after="0" w:line="240" w:lineRule="auto"/>
        <w:ind w:right="-28"/>
        <w:jc w:val="both"/>
      </w:pPr>
    </w:p>
    <w:p w:rsidR="00AF6F86" w:rsidRDefault="00AF6F86" w:rsidP="00AF6F86">
      <w:pPr>
        <w:spacing w:after="0" w:line="240" w:lineRule="auto"/>
        <w:ind w:right="-28"/>
        <w:jc w:val="both"/>
        <w:rPr>
          <w:rFonts w:cs="Courier"/>
        </w:rPr>
      </w:pPr>
      <w:r>
        <w:tab/>
      </w:r>
      <w:r>
        <w:tab/>
      </w:r>
      <w:r>
        <w:tab/>
      </w:r>
      <w:r w:rsidR="00A560D7">
        <w:tab/>
      </w:r>
      <w:r w:rsidR="00A560D7">
        <w:tab/>
      </w:r>
      <w:r>
        <w:t xml:space="preserve">Por otro lado, es útil complementar la norma vigente </w:t>
      </w:r>
      <w:r>
        <w:rPr>
          <w:rFonts w:cs="Courier"/>
        </w:rPr>
        <w:t>que obliga a</w:t>
      </w:r>
      <w:r w:rsidRPr="0094783B">
        <w:rPr>
          <w:rFonts w:cs="Courier"/>
        </w:rPr>
        <w:t xml:space="preserve"> </w:t>
      </w:r>
      <w:r>
        <w:rPr>
          <w:rFonts w:cs="Courier"/>
        </w:rPr>
        <w:t>comparecer</w:t>
      </w:r>
      <w:r w:rsidRPr="0094783B">
        <w:rPr>
          <w:rFonts w:cs="Courier"/>
        </w:rPr>
        <w:t xml:space="preserve"> ante dichas </w:t>
      </w:r>
      <w:r>
        <w:rPr>
          <w:rFonts w:cs="Courier"/>
        </w:rPr>
        <w:t>comisiones a</w:t>
      </w:r>
      <w:r w:rsidRPr="0094783B">
        <w:rPr>
          <w:rFonts w:cs="Courier"/>
        </w:rPr>
        <w:t>l senador o d</w:t>
      </w:r>
      <w:r>
        <w:rPr>
          <w:rFonts w:cs="Courier"/>
        </w:rPr>
        <w:t>iputado que hubiere sido citado por ellas, con la posibilidad de aplicarle una sanción, de plano.</w:t>
      </w:r>
      <w:r w:rsidRPr="0094783B">
        <w:rPr>
          <w:rFonts w:cs="Courier"/>
        </w:rPr>
        <w:t xml:space="preserve"> </w:t>
      </w:r>
    </w:p>
    <w:p w:rsidR="00AF6F86" w:rsidRDefault="00AF6F86" w:rsidP="00AF6F86">
      <w:pPr>
        <w:spacing w:after="0" w:line="240" w:lineRule="auto"/>
        <w:ind w:right="-28"/>
        <w:jc w:val="both"/>
        <w:rPr>
          <w:rFonts w:cs="Courier"/>
        </w:rPr>
      </w:pPr>
    </w:p>
    <w:p w:rsidR="00AF6F86" w:rsidRDefault="00AF6F86" w:rsidP="00AF6F86">
      <w:pPr>
        <w:spacing w:after="0" w:line="240" w:lineRule="auto"/>
        <w:jc w:val="both"/>
      </w:pPr>
      <w:r>
        <w:rPr>
          <w:rFonts w:cs="Courier"/>
        </w:rPr>
        <w:tab/>
      </w:r>
      <w:r>
        <w:rPr>
          <w:rFonts w:cs="Courier"/>
        </w:rPr>
        <w:tab/>
      </w:r>
      <w:r>
        <w:rPr>
          <w:rFonts w:cs="Courier"/>
        </w:rPr>
        <w:tab/>
      </w:r>
      <w:r w:rsidR="00A560D7">
        <w:rPr>
          <w:rFonts w:cs="Courier"/>
        </w:rPr>
        <w:tab/>
      </w:r>
      <w:r w:rsidR="00A560D7">
        <w:rPr>
          <w:rFonts w:cs="Courier"/>
        </w:rPr>
        <w:tab/>
      </w:r>
      <w:r>
        <w:rPr>
          <w:rFonts w:cs="Courier"/>
        </w:rPr>
        <w:t>También se hace necesario, para contar con pautas comunes de trabajo, e</w:t>
      </w:r>
      <w:r>
        <w:rPr>
          <w:rFonts w:cstheme="minorHAnsi"/>
        </w:rPr>
        <w:t xml:space="preserve">stablecer </w:t>
      </w:r>
      <w:r w:rsidRPr="0024405B">
        <w:rPr>
          <w:rFonts w:cstheme="minorHAnsi"/>
        </w:rPr>
        <w:t>las bases de lo</w:t>
      </w:r>
      <w:r>
        <w:rPr>
          <w:rFonts w:cstheme="minorHAnsi"/>
        </w:rPr>
        <w:t xml:space="preserve">s procedimientos que aplicarán dichas </w:t>
      </w:r>
      <w:r w:rsidRPr="0024405B">
        <w:rPr>
          <w:rFonts w:cstheme="minorHAnsi"/>
        </w:rPr>
        <w:t>Comisione</w:t>
      </w:r>
      <w:r>
        <w:rPr>
          <w:rFonts w:cstheme="minorHAnsi"/>
        </w:rPr>
        <w:t>s y fijar</w:t>
      </w:r>
      <w:r w:rsidRPr="006265D6">
        <w:t xml:space="preserve"> las sanciones que podrán aplicar </w:t>
      </w:r>
      <w:r>
        <w:rPr>
          <w:rFonts w:cstheme="minorHAnsi"/>
        </w:rPr>
        <w:t xml:space="preserve">en los casos que no la tengan determinada por ley. Las sanciones que se consideran son el </w:t>
      </w:r>
      <w:r>
        <w:t>l</w:t>
      </w:r>
      <w:r w:rsidRPr="00E368FE">
        <w:t>lamado al orden;</w:t>
      </w:r>
      <w:r>
        <w:t xml:space="preserve"> la amonestación y la censura, que </w:t>
      </w:r>
      <w:r w:rsidRPr="00E368FE">
        <w:t>llevarán consigo como pena anexa la de</w:t>
      </w:r>
      <w:r>
        <w:t xml:space="preserve"> multa. En el primer caso</w:t>
      </w:r>
      <w:r w:rsidRPr="00E368FE">
        <w:t>, la m</w:t>
      </w:r>
      <w:r>
        <w:t>ulta será de hasta el 2% de la dieta parlamentaria; en el segundo, desde más del 2</w:t>
      </w:r>
      <w:r w:rsidRPr="00E368FE">
        <w:t>% y</w:t>
      </w:r>
      <w:r>
        <w:t xml:space="preserve"> hasta el 5% de la dieta, y en el tercero, desde más del 5% y hasta el 15% de la dieta.</w:t>
      </w:r>
    </w:p>
    <w:p w:rsidR="00AF6F86" w:rsidRDefault="00AF6F86" w:rsidP="00AF6F86">
      <w:pPr>
        <w:spacing w:after="0" w:line="240" w:lineRule="auto"/>
        <w:ind w:right="-28"/>
        <w:jc w:val="both"/>
        <w:rPr>
          <w:rFonts w:cstheme="minorHAnsi"/>
        </w:rPr>
      </w:pPr>
    </w:p>
    <w:p w:rsidR="00AF6F86" w:rsidRPr="004E0431" w:rsidRDefault="00AF6F86" w:rsidP="00AF6F86">
      <w:pPr>
        <w:spacing w:after="0" w:line="240" w:lineRule="auto"/>
        <w:ind w:right="-28"/>
        <w:jc w:val="both"/>
        <w:rPr>
          <w:rFonts w:cstheme="minorHAnsi"/>
        </w:rPr>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sidR="00BB019E">
        <w:rPr>
          <w:rFonts w:cstheme="minorHAnsi"/>
          <w:b/>
        </w:rPr>
        <w:t>3</w:t>
      </w:r>
      <w:r w:rsidRPr="00344465">
        <w:rPr>
          <w:rFonts w:cstheme="minorHAnsi"/>
          <w:b/>
        </w:rPr>
        <w:t>.-</w:t>
      </w:r>
      <w:r>
        <w:rPr>
          <w:rFonts w:cstheme="minorHAnsi"/>
        </w:rPr>
        <w:t xml:space="preserve"> </w:t>
      </w:r>
      <w:r w:rsidR="00C4224D" w:rsidRPr="00C4224D">
        <w:rPr>
          <w:rFonts w:cstheme="minorHAnsi"/>
          <w:b/>
        </w:rPr>
        <w:t xml:space="preserve">Crear </w:t>
      </w:r>
      <w:r w:rsidR="00C4224D">
        <w:rPr>
          <w:b/>
        </w:rPr>
        <w:t xml:space="preserve">la </w:t>
      </w:r>
      <w:r w:rsidR="00C4224D" w:rsidRPr="004E0431">
        <w:rPr>
          <w:b/>
        </w:rPr>
        <w:t>Dirección de Ética</w:t>
      </w:r>
      <w:r w:rsidR="00C4224D">
        <w:rPr>
          <w:b/>
        </w:rPr>
        <w:t xml:space="preserve"> y Transparencia Parlamentaria, como órgano de trabajo común al Senado y la Cámara de Diputados.</w:t>
      </w:r>
      <w:r w:rsidRPr="004E0431">
        <w:rPr>
          <w:b/>
        </w:rPr>
        <w:t xml:space="preserve"> </w:t>
      </w:r>
    </w:p>
    <w:p w:rsidR="00AF6F86" w:rsidRPr="004E0431" w:rsidRDefault="00AF6F86" w:rsidP="00AF6F86">
      <w:pPr>
        <w:spacing w:after="0" w:line="240" w:lineRule="auto"/>
        <w:ind w:right="-28"/>
        <w:jc w:val="both"/>
        <w:rPr>
          <w:rFonts w:cstheme="minorHAnsi"/>
        </w:rPr>
      </w:pPr>
    </w:p>
    <w:p w:rsidR="00AF6F86" w:rsidRDefault="00AF6F86" w:rsidP="00AF6F86">
      <w:pPr>
        <w:spacing w:after="0" w:line="240" w:lineRule="auto"/>
        <w:jc w:val="both"/>
        <w:rPr>
          <w:bCs/>
        </w:rPr>
      </w:pPr>
      <w:r w:rsidRPr="004E0431">
        <w:rPr>
          <w:rFonts w:cstheme="minorHAnsi"/>
        </w:rPr>
        <w:tab/>
      </w:r>
      <w:r w:rsidRPr="004E0431">
        <w:rPr>
          <w:rFonts w:cstheme="minorHAnsi"/>
        </w:rPr>
        <w:tab/>
      </w:r>
      <w:r w:rsidRPr="004E0431">
        <w:rPr>
          <w:rFonts w:cstheme="minorHAnsi"/>
        </w:rPr>
        <w:tab/>
      </w:r>
      <w:r w:rsidR="00A560D7">
        <w:rPr>
          <w:rFonts w:cstheme="minorHAnsi"/>
        </w:rPr>
        <w:tab/>
      </w:r>
      <w:r w:rsidR="00A560D7">
        <w:rPr>
          <w:rFonts w:cstheme="minorHAnsi"/>
        </w:rPr>
        <w:tab/>
      </w:r>
      <w:r w:rsidRPr="004E0431">
        <w:rPr>
          <w:rFonts w:cstheme="minorHAnsi"/>
        </w:rPr>
        <w:t xml:space="preserve">La revisión de la experiencia extranjera, por ejemplo, los casos de </w:t>
      </w:r>
      <w:r w:rsidRPr="004E0431">
        <w:t xml:space="preserve">Canadá, Estados Unidos de América </w:t>
      </w:r>
      <w:r>
        <w:t>y, particularmente del Reino Unido,</w:t>
      </w:r>
      <w:r w:rsidRPr="004E0431">
        <w:t xml:space="preserve"> demuestra que, en aras de generar mayor transparencia, resulta útil </w:t>
      </w:r>
      <w:r w:rsidRPr="004E0431">
        <w:rPr>
          <w:bCs/>
        </w:rPr>
        <w:t>instaurar, junto a un ór</w:t>
      </w:r>
      <w:r w:rsidR="00AC6703">
        <w:rPr>
          <w:bCs/>
        </w:rPr>
        <w:t xml:space="preserve">gano parlamentario, otro </w:t>
      </w:r>
      <w:r w:rsidRPr="004E0431">
        <w:rPr>
          <w:bCs/>
        </w:rPr>
        <w:t>externo o independiente, de modo que se produzca una</w:t>
      </w:r>
      <w:r w:rsidR="00AC6703">
        <w:rPr>
          <w:bCs/>
        </w:rPr>
        <w:t xml:space="preserve"> interacción, en términos,  por ejemplo, de que</w:t>
      </w:r>
      <w:r w:rsidRPr="004E0431">
        <w:rPr>
          <w:bCs/>
        </w:rPr>
        <w:t xml:space="preserve"> el primero se reserve</w:t>
      </w:r>
      <w:r w:rsidRPr="004E0431">
        <w:t xml:space="preserve"> las facultades normativas y sancionatorias</w:t>
      </w:r>
      <w:r w:rsidRPr="004E0431">
        <w:rPr>
          <w:bCs/>
        </w:rPr>
        <w:t xml:space="preserve"> y el otro se haga cargo de la</w:t>
      </w:r>
      <w:r w:rsidRPr="004E0431">
        <w:t xml:space="preserve"> fiscalización, la investigación</w:t>
      </w:r>
      <w:r w:rsidRPr="004E0431">
        <w:rPr>
          <w:bCs/>
        </w:rPr>
        <w:t xml:space="preserve"> que sea necesaria y la ejecución de otras labores, como capacitación o difusión.</w:t>
      </w:r>
    </w:p>
    <w:p w:rsidR="00AF6F86" w:rsidRPr="004E0431" w:rsidRDefault="00AF6F86" w:rsidP="00AF6F86">
      <w:pPr>
        <w:spacing w:after="0" w:line="240" w:lineRule="auto"/>
        <w:jc w:val="both"/>
        <w:rPr>
          <w:bCs/>
        </w:rPr>
      </w:pPr>
    </w:p>
    <w:p w:rsidR="00AF6F86" w:rsidRPr="00A4743C" w:rsidRDefault="00AF6F86" w:rsidP="00AF6F86">
      <w:pPr>
        <w:autoSpaceDE w:val="0"/>
        <w:autoSpaceDN w:val="0"/>
        <w:adjustRightInd w:val="0"/>
        <w:spacing w:after="0" w:line="240" w:lineRule="auto"/>
        <w:jc w:val="both"/>
      </w:pPr>
      <w:r w:rsidRPr="00A4743C">
        <w:tab/>
      </w:r>
      <w:r w:rsidRPr="00A4743C">
        <w:tab/>
      </w:r>
      <w:r w:rsidRPr="00A4743C">
        <w:tab/>
      </w:r>
      <w:r w:rsidR="00A560D7">
        <w:tab/>
      </w:r>
      <w:r w:rsidR="00A560D7">
        <w:tab/>
      </w:r>
      <w:r w:rsidRPr="00A4743C">
        <w:t xml:space="preserve">La situación chilena recomienda que el apoyo a las Comisiones de Ética y Transparencia se brinde por un órgano especializado común, </w:t>
      </w:r>
      <w:r w:rsidRPr="00A4743C">
        <w:rPr>
          <w:b/>
        </w:rPr>
        <w:t xml:space="preserve"> </w:t>
      </w:r>
      <w:r w:rsidRPr="00A4743C">
        <w:t xml:space="preserve">que cumpla funciones propias y además efectúe proposiciones para la resolución de cada Comisión. </w:t>
      </w:r>
    </w:p>
    <w:p w:rsidR="00AF6F86" w:rsidRPr="00A4743C" w:rsidRDefault="00AF6F86" w:rsidP="00AF6F86">
      <w:pPr>
        <w:spacing w:after="0" w:line="240" w:lineRule="auto"/>
        <w:ind w:right="-28"/>
        <w:jc w:val="both"/>
        <w:rPr>
          <w:rFonts w:cstheme="minorHAnsi"/>
        </w:rPr>
      </w:pPr>
    </w:p>
    <w:p w:rsidR="00AF6F86" w:rsidRDefault="00AF6F86" w:rsidP="00AF6F86">
      <w:pPr>
        <w:spacing w:after="0" w:line="240" w:lineRule="auto"/>
        <w:ind w:right="-28"/>
        <w:jc w:val="both"/>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Pr>
          <w:rFonts w:cstheme="minorHAnsi"/>
        </w:rPr>
        <w:t xml:space="preserve">Se propone, al efecto, crear una </w:t>
      </w:r>
      <w:r>
        <w:t xml:space="preserve">Dirección de Ética y Transparencia Parlamentaria, </w:t>
      </w:r>
      <w:r>
        <w:rPr>
          <w:rFonts w:cstheme="minorHAnsi"/>
        </w:rPr>
        <w:tab/>
      </w:r>
      <w:r w:rsidRPr="00A4743C">
        <w:t>integrada por un Dire</w:t>
      </w:r>
      <w:r w:rsidR="00AC6703">
        <w:t xml:space="preserve">ctor Ejecutivo y dos </w:t>
      </w:r>
      <w:r w:rsidRPr="00A4743C">
        <w:t xml:space="preserve">especialistas independientes; </w:t>
      </w:r>
      <w:r w:rsidR="00776CBF">
        <w:t>el primero se designará por medio del Sistema de Alta Dirección Pública</w:t>
      </w:r>
      <w:r w:rsidRPr="00A4743C">
        <w:t>, y los especialistas uno por una Cámara, a propuesta de la Comisión respectiva. Las Salas deberán aprobar las propuestas por los dos tercios de sus miemb</w:t>
      </w:r>
      <w:r w:rsidR="00776CBF">
        <w:t>ros en ejercicio. Durarán seis</w:t>
      </w:r>
      <w:r w:rsidRPr="00A4743C">
        <w:t xml:space="preserve"> años en s</w:t>
      </w:r>
      <w:r w:rsidR="00776CBF">
        <w:t>us cargos y se renovarán alternadamente -para lo cual tendrán un período distinto en su primera designación-, pudiendo ser reelegidos.</w:t>
      </w:r>
    </w:p>
    <w:p w:rsidR="00AF6F86" w:rsidRDefault="00AF6F86" w:rsidP="00AF6F86">
      <w:pPr>
        <w:spacing w:after="0" w:line="240" w:lineRule="auto"/>
        <w:ind w:right="-28"/>
        <w:jc w:val="both"/>
      </w:pPr>
    </w:p>
    <w:p w:rsidR="00AF6F86" w:rsidRPr="00E40B61" w:rsidRDefault="00AF6F86" w:rsidP="00AF6F86">
      <w:pPr>
        <w:spacing w:after="0" w:line="240" w:lineRule="auto"/>
        <w:jc w:val="both"/>
      </w:pPr>
      <w:r>
        <w:rPr>
          <w:rFonts w:cstheme="minorHAnsi"/>
        </w:rPr>
        <w:tab/>
      </w:r>
      <w:r>
        <w:rPr>
          <w:rFonts w:cstheme="minorHAnsi"/>
        </w:rPr>
        <w:tab/>
      </w:r>
      <w:r>
        <w:rPr>
          <w:rFonts w:cstheme="minorHAnsi"/>
        </w:rPr>
        <w:tab/>
      </w:r>
      <w:r w:rsidR="00A560D7">
        <w:rPr>
          <w:rFonts w:cstheme="minorHAnsi"/>
        </w:rPr>
        <w:tab/>
      </w:r>
      <w:r w:rsidR="00A560D7">
        <w:rPr>
          <w:rFonts w:cstheme="minorHAnsi"/>
        </w:rPr>
        <w:tab/>
      </w:r>
      <w:r>
        <w:rPr>
          <w:rFonts w:cstheme="minorHAnsi"/>
        </w:rPr>
        <w:t xml:space="preserve">Las principales funciones de este órgano de trabajo común serían </w:t>
      </w:r>
      <w:r>
        <w:rPr>
          <w:rFonts w:cs="Arial"/>
        </w:rPr>
        <w:t xml:space="preserve">apoyar a </w:t>
      </w:r>
      <w:r w:rsidRPr="006415C2">
        <w:t>las Comisiones de Ética y Transparencia</w:t>
      </w:r>
      <w:r>
        <w:t xml:space="preserve"> en los cometidos que éstas le encomiende</w:t>
      </w:r>
      <w:r w:rsidR="00776CBF">
        <w:t>n</w:t>
      </w:r>
      <w:r>
        <w:t>; particularmente, informarles sobre la circunstancia de encontrarse acreditados los hechos a que se refiere un asunto de que estén conociendo. Igualmente, apoyar a los parlamentarios</w:t>
      </w:r>
      <w:r w:rsidRPr="00A4743C">
        <w:t xml:space="preserve"> </w:t>
      </w:r>
      <w:r>
        <w:t xml:space="preserve">en el cumplimiento de las obligaciones legales relacionadas con probidad, transparencia o acceso a la información pública, dentro del marco que señalen </w:t>
      </w:r>
      <w:r>
        <w:rPr>
          <w:rFonts w:cs="Courier"/>
        </w:rPr>
        <w:t>las Comision</w:t>
      </w:r>
      <w:r w:rsidR="00776CBF">
        <w:rPr>
          <w:rFonts w:cs="Courier"/>
        </w:rPr>
        <w:t>es respectivas</w:t>
      </w:r>
      <w:r>
        <w:rPr>
          <w:rFonts w:cs="Courier"/>
        </w:rPr>
        <w:t>.</w:t>
      </w:r>
    </w:p>
    <w:p w:rsidR="00AF6F86" w:rsidRDefault="00AF6F86" w:rsidP="00AF6F86">
      <w:pPr>
        <w:spacing w:after="0" w:line="240" w:lineRule="auto"/>
        <w:ind w:right="-28"/>
        <w:jc w:val="both"/>
        <w:rPr>
          <w:rFonts w:cstheme="minorHAnsi"/>
        </w:rPr>
      </w:pPr>
    </w:p>
    <w:p w:rsidR="00345B00" w:rsidRDefault="00345B00" w:rsidP="00345B00">
      <w:pPr>
        <w:spacing w:after="0" w:line="240" w:lineRule="auto"/>
        <w:jc w:val="both"/>
        <w:rPr>
          <w:b/>
        </w:rPr>
      </w:pPr>
      <w:r>
        <w:tab/>
      </w:r>
      <w:r>
        <w:tab/>
      </w:r>
      <w:r>
        <w:tab/>
      </w:r>
      <w:r>
        <w:tab/>
      </w:r>
      <w:r>
        <w:tab/>
      </w:r>
      <w:r w:rsidRPr="004379AC">
        <w:rPr>
          <w:b/>
        </w:rPr>
        <w:t>4.- Establecer con carácter permanente el Grupo Bicameral de Transparencia, con la denominación de Comisión Bicameral de Transparencia.</w:t>
      </w:r>
    </w:p>
    <w:p w:rsidR="00345B00" w:rsidRPr="004379AC" w:rsidRDefault="00345B00" w:rsidP="00345B00">
      <w:pPr>
        <w:spacing w:after="0" w:line="240" w:lineRule="auto"/>
        <w:jc w:val="both"/>
        <w:rPr>
          <w:b/>
        </w:rPr>
      </w:pPr>
    </w:p>
    <w:p w:rsidR="00345B00" w:rsidRDefault="00345B00" w:rsidP="00345B00">
      <w:pPr>
        <w:spacing w:after="0" w:line="240" w:lineRule="auto"/>
        <w:jc w:val="both"/>
      </w:pPr>
      <w:r>
        <w:tab/>
      </w:r>
      <w:r>
        <w:tab/>
      </w:r>
      <w:r>
        <w:tab/>
      </w:r>
      <w:r>
        <w:tab/>
      </w:r>
      <w:r>
        <w:tab/>
      </w:r>
      <w:r w:rsidR="0089133F">
        <w:t>En marzo de 2011, Senadores y Diputados de diversos partidos políticos convinieron en formar un Grupo Parlamentario pro Transparencia, con el propósito de aunar criterios y</w:t>
      </w:r>
      <w:r w:rsidR="00CF6345">
        <w:t xml:space="preserve">  analizar en conjunto iniciativas de ley e indicaciones en materias de transparencia. Los días 12 y 13 de enero de 2012 se efectuó el Seminario Internacional sobre Transparencia e Integridad en los Congreso Nacional y en el sistema de Partidos Políticos, organizado por la Comisión de Ética y Transparencia del Senado, al término del cual se emitió la “Declaración de Santiago sobre sobre Transparencia e Integridad en los Parlamentos y Partidos Políticos”. Luego de ser aprobada esa Declaración por el Senado, en virtud de un acuerdo adoptado </w:t>
      </w:r>
      <w:r w:rsidR="0089133F">
        <w:t xml:space="preserve">el 5 de junio de 2012 y </w:t>
      </w:r>
      <w:r w:rsidR="00CF6345">
        <w:t xml:space="preserve">otro, aprobado </w:t>
      </w:r>
      <w:r w:rsidR="0089133F">
        <w:t xml:space="preserve">por la Cámara de Diputados el 16 de octubre del mismo año, </w:t>
      </w:r>
      <w:r w:rsidR="00A844C1">
        <w:t xml:space="preserve">con el propósito de dar un expreso respaldo institucional al referido Grupo Parlamentario, </w:t>
      </w:r>
      <w:r w:rsidR="00CF6345">
        <w:t>se constituyó formalmente un</w:t>
      </w:r>
      <w:r w:rsidR="0089133F">
        <w:t xml:space="preserve"> Grupo Bicameral de Transparencia e</w:t>
      </w:r>
      <w:r>
        <w:t>l 7 de noviembre de 2012</w:t>
      </w:r>
      <w:r w:rsidR="00A844C1">
        <w:t>, destinado a</w:t>
      </w:r>
      <w:r w:rsidR="00CF6345">
        <w:t xml:space="preserve"> impulsar la ejecución de las propuestas contenidas en esa Declaración, así como a promover iniciativas legales y políticas públicas que aseguren y profundicen la transparencia. </w:t>
      </w:r>
      <w:r>
        <w:t xml:space="preserve">Hasta la fecha, </w:t>
      </w:r>
      <w:r w:rsidR="00CF6345">
        <w:t xml:space="preserve">el Grupo Bicameral de Transparencia </w:t>
      </w:r>
      <w:r>
        <w:t xml:space="preserve">ha sido un instrumento útil para coordinar las actividades que ambas </w:t>
      </w:r>
      <w:r w:rsidR="00CF6345">
        <w:t xml:space="preserve">Cámaras </w:t>
      </w:r>
      <w:r w:rsidR="00CF6345">
        <w:lastRenderedPageBreak/>
        <w:t>realizan en esas materias, t</w:t>
      </w:r>
      <w:r>
        <w:t>anto en el ámbito na</w:t>
      </w:r>
      <w:r w:rsidR="0089133F">
        <w:t>cional como internacional, en lo</w:t>
      </w:r>
      <w:r>
        <w:t>s que ha conseguido la colaboración y el respaldo de diversos organismos.</w:t>
      </w:r>
    </w:p>
    <w:p w:rsidR="00345B00" w:rsidRDefault="00345B00" w:rsidP="00345B00">
      <w:pPr>
        <w:spacing w:after="0" w:line="240" w:lineRule="auto"/>
        <w:jc w:val="both"/>
      </w:pPr>
      <w:bookmarkStart w:id="0" w:name="_GoBack"/>
      <w:bookmarkEnd w:id="0"/>
    </w:p>
    <w:sectPr w:rsidR="00345B00" w:rsidSect="00567F66">
      <w:headerReference w:type="default" r:id="rId7"/>
      <w:pgSz w:w="12240" w:h="18720" w:code="14"/>
      <w:pgMar w:top="2835" w:right="1701" w:bottom="1701" w:left="2268" w:header="22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65" w:rsidRDefault="00D96565" w:rsidP="00AF6F86">
      <w:pPr>
        <w:spacing w:after="0" w:line="240" w:lineRule="auto"/>
      </w:pPr>
      <w:r>
        <w:separator/>
      </w:r>
    </w:p>
  </w:endnote>
  <w:endnote w:type="continuationSeparator" w:id="0">
    <w:p w:rsidR="00D96565" w:rsidRDefault="00D96565" w:rsidP="00AF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sis-Regular">
    <w:altName w:val="MS Gothic"/>
    <w:panose1 w:val="00000000000000000000"/>
    <w:charset w:val="00"/>
    <w:family w:val="swiss"/>
    <w:notTrueType/>
    <w:pitch w:val="default"/>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65" w:rsidRDefault="00D96565" w:rsidP="00AF6F86">
      <w:pPr>
        <w:spacing w:after="0" w:line="240" w:lineRule="auto"/>
      </w:pPr>
      <w:r>
        <w:separator/>
      </w:r>
    </w:p>
  </w:footnote>
  <w:footnote w:type="continuationSeparator" w:id="0">
    <w:p w:rsidR="00D96565" w:rsidRDefault="00D96565" w:rsidP="00AF6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196845"/>
      <w:docPartObj>
        <w:docPartGallery w:val="Page Numbers (Top of Page)"/>
        <w:docPartUnique/>
      </w:docPartObj>
    </w:sdtPr>
    <w:sdtContent>
      <w:p w:rsidR="00567F66" w:rsidRDefault="00567F66">
        <w:pPr>
          <w:pStyle w:val="Encabezado"/>
          <w:jc w:val="right"/>
        </w:pPr>
        <w:r>
          <w:fldChar w:fldCharType="begin"/>
        </w:r>
        <w:r>
          <w:instrText>PAGE   \* MERGEFORMAT</w:instrText>
        </w:r>
        <w:r>
          <w:fldChar w:fldCharType="separate"/>
        </w:r>
        <w:r w:rsidRPr="00567F66">
          <w:rPr>
            <w:noProof/>
            <w:lang w:val="es-ES"/>
          </w:rPr>
          <w:t>1</w:t>
        </w:r>
        <w:r>
          <w:fldChar w:fldCharType="end"/>
        </w:r>
      </w:p>
    </w:sdtContent>
  </w:sdt>
  <w:p w:rsidR="00567F66" w:rsidRDefault="00567F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B41"/>
    <w:multiLevelType w:val="multilevel"/>
    <w:tmpl w:val="C7967E84"/>
    <w:lvl w:ilvl="0">
      <w:start w:val="1"/>
      <w:numFmt w:val="decimal"/>
      <w:pStyle w:val="Estilo3"/>
      <w:lvlText w:val="%1."/>
      <w:lvlJc w:val="left"/>
      <w:pPr>
        <w:ind w:left="360" w:hanging="360"/>
      </w:pPr>
      <w:rPr>
        <w:rFonts w:hint="default"/>
      </w:rPr>
    </w:lvl>
    <w:lvl w:ilvl="1">
      <w:start w:val="1"/>
      <w:numFmt w:val="decimal"/>
      <w:pStyle w:val="Ttulo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88373B2"/>
    <w:multiLevelType w:val="multilevel"/>
    <w:tmpl w:val="6F3AA424"/>
    <w:lvl w:ilvl="0">
      <w:start w:val="1"/>
      <w:numFmt w:val="decimal"/>
      <w:lvlText w:val="%1."/>
      <w:lvlJc w:val="left"/>
      <w:pPr>
        <w:ind w:left="3032" w:firstLine="1080"/>
      </w:pPr>
      <w:rPr>
        <w:rFonts w:ascii="Arial" w:eastAsia="Arial" w:hAnsi="Arial" w:cs="Arial"/>
        <w:vertAlign w:val="baseline"/>
      </w:rPr>
    </w:lvl>
    <w:lvl w:ilvl="1">
      <w:start w:val="1"/>
      <w:numFmt w:val="decimal"/>
      <w:lvlText w:val="%1.%2."/>
      <w:lvlJc w:val="left"/>
      <w:pPr>
        <w:ind w:left="3464" w:firstLine="1872"/>
      </w:pPr>
      <w:rPr>
        <w:rFonts w:ascii="Arial" w:eastAsia="Arial" w:hAnsi="Arial" w:cs="Arial"/>
        <w:vertAlign w:val="baseline"/>
      </w:rPr>
    </w:lvl>
    <w:lvl w:ilvl="2">
      <w:start w:val="1"/>
      <w:numFmt w:val="decimal"/>
      <w:lvlText w:val="%1.%2.%3."/>
      <w:lvlJc w:val="left"/>
      <w:pPr>
        <w:ind w:left="3896" w:firstLine="2664"/>
      </w:pPr>
      <w:rPr>
        <w:rFonts w:ascii="Arial" w:eastAsia="Arial" w:hAnsi="Arial" w:cs="Arial"/>
        <w:vertAlign w:val="baseline"/>
      </w:rPr>
    </w:lvl>
    <w:lvl w:ilvl="3">
      <w:start w:val="1"/>
      <w:numFmt w:val="decimal"/>
      <w:lvlText w:val="%1.%2.%3.%4."/>
      <w:lvlJc w:val="left"/>
      <w:pPr>
        <w:ind w:left="4400" w:firstLine="3528"/>
      </w:pPr>
      <w:rPr>
        <w:rFonts w:ascii="Arial" w:eastAsia="Arial" w:hAnsi="Arial" w:cs="Arial"/>
        <w:vertAlign w:val="baseline"/>
      </w:rPr>
    </w:lvl>
    <w:lvl w:ilvl="4">
      <w:start w:val="1"/>
      <w:numFmt w:val="decimal"/>
      <w:lvlText w:val="%1.%2.%3.%4.%5."/>
      <w:lvlJc w:val="left"/>
      <w:pPr>
        <w:ind w:left="4904" w:firstLine="4392"/>
      </w:pPr>
      <w:rPr>
        <w:rFonts w:ascii="Arial" w:eastAsia="Arial" w:hAnsi="Arial" w:cs="Arial"/>
        <w:vertAlign w:val="baseline"/>
      </w:rPr>
    </w:lvl>
    <w:lvl w:ilvl="5">
      <w:start w:val="1"/>
      <w:numFmt w:val="decimal"/>
      <w:lvlText w:val="%1.%2.%3.%4.%5.%6."/>
      <w:lvlJc w:val="left"/>
      <w:pPr>
        <w:ind w:left="5408" w:firstLine="5256"/>
      </w:pPr>
      <w:rPr>
        <w:rFonts w:ascii="Arial" w:eastAsia="Arial" w:hAnsi="Arial" w:cs="Arial"/>
        <w:vertAlign w:val="baseline"/>
      </w:rPr>
    </w:lvl>
    <w:lvl w:ilvl="6">
      <w:start w:val="1"/>
      <w:numFmt w:val="decimal"/>
      <w:lvlText w:val="%1.%2.%3.%4.%5.%6.%7."/>
      <w:lvlJc w:val="left"/>
      <w:pPr>
        <w:ind w:left="5912" w:firstLine="6120"/>
      </w:pPr>
      <w:rPr>
        <w:rFonts w:ascii="Arial" w:eastAsia="Arial" w:hAnsi="Arial" w:cs="Arial"/>
        <w:vertAlign w:val="baseline"/>
      </w:rPr>
    </w:lvl>
    <w:lvl w:ilvl="7">
      <w:start w:val="1"/>
      <w:numFmt w:val="decimal"/>
      <w:lvlText w:val="%1.%2.%3.%4.%5.%6.%7.%8."/>
      <w:lvlJc w:val="left"/>
      <w:pPr>
        <w:ind w:left="6416" w:firstLine="6984"/>
      </w:pPr>
      <w:rPr>
        <w:rFonts w:ascii="Arial" w:eastAsia="Arial" w:hAnsi="Arial" w:cs="Arial"/>
        <w:vertAlign w:val="baseline"/>
      </w:rPr>
    </w:lvl>
    <w:lvl w:ilvl="8">
      <w:start w:val="1"/>
      <w:numFmt w:val="decimal"/>
      <w:lvlText w:val="%1.%2.%3.%4.%5.%6.%7.%8.%9."/>
      <w:lvlJc w:val="left"/>
      <w:pPr>
        <w:ind w:left="6992" w:firstLine="79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E1"/>
    <w:rsid w:val="000674E7"/>
    <w:rsid w:val="0009446E"/>
    <w:rsid w:val="000F2124"/>
    <w:rsid w:val="000F535C"/>
    <w:rsid w:val="00214617"/>
    <w:rsid w:val="0024651A"/>
    <w:rsid w:val="00271214"/>
    <w:rsid w:val="00281F5A"/>
    <w:rsid w:val="002B0FCC"/>
    <w:rsid w:val="00322230"/>
    <w:rsid w:val="00323930"/>
    <w:rsid w:val="0033369D"/>
    <w:rsid w:val="00345B00"/>
    <w:rsid w:val="00360E8E"/>
    <w:rsid w:val="00386C27"/>
    <w:rsid w:val="0039110B"/>
    <w:rsid w:val="00393CF0"/>
    <w:rsid w:val="003A42E4"/>
    <w:rsid w:val="003F4B8A"/>
    <w:rsid w:val="00420A18"/>
    <w:rsid w:val="00420ACD"/>
    <w:rsid w:val="00440774"/>
    <w:rsid w:val="004C20F8"/>
    <w:rsid w:val="004D5332"/>
    <w:rsid w:val="004F1223"/>
    <w:rsid w:val="00521442"/>
    <w:rsid w:val="005322BB"/>
    <w:rsid w:val="00535ED7"/>
    <w:rsid w:val="005573B2"/>
    <w:rsid w:val="00557E21"/>
    <w:rsid w:val="00567F66"/>
    <w:rsid w:val="00577506"/>
    <w:rsid w:val="005B1FFF"/>
    <w:rsid w:val="005E516A"/>
    <w:rsid w:val="006D71B3"/>
    <w:rsid w:val="006E3126"/>
    <w:rsid w:val="00767986"/>
    <w:rsid w:val="00776CBF"/>
    <w:rsid w:val="0078248A"/>
    <w:rsid w:val="007D3FC9"/>
    <w:rsid w:val="007D5268"/>
    <w:rsid w:val="00800F4F"/>
    <w:rsid w:val="00847FC2"/>
    <w:rsid w:val="00864C17"/>
    <w:rsid w:val="0089133F"/>
    <w:rsid w:val="008C2957"/>
    <w:rsid w:val="008C72AD"/>
    <w:rsid w:val="008D588D"/>
    <w:rsid w:val="008E704B"/>
    <w:rsid w:val="00910CBD"/>
    <w:rsid w:val="00943E39"/>
    <w:rsid w:val="009827D5"/>
    <w:rsid w:val="00984C82"/>
    <w:rsid w:val="00985716"/>
    <w:rsid w:val="009C18D3"/>
    <w:rsid w:val="009C3753"/>
    <w:rsid w:val="00A355B6"/>
    <w:rsid w:val="00A36937"/>
    <w:rsid w:val="00A560D7"/>
    <w:rsid w:val="00A57E8A"/>
    <w:rsid w:val="00A82C4F"/>
    <w:rsid w:val="00A844C1"/>
    <w:rsid w:val="00AC6703"/>
    <w:rsid w:val="00AF6F86"/>
    <w:rsid w:val="00B0511A"/>
    <w:rsid w:val="00B340A4"/>
    <w:rsid w:val="00B656FD"/>
    <w:rsid w:val="00B96557"/>
    <w:rsid w:val="00BB019E"/>
    <w:rsid w:val="00C137C7"/>
    <w:rsid w:val="00C17F16"/>
    <w:rsid w:val="00C27BCB"/>
    <w:rsid w:val="00C405C5"/>
    <w:rsid w:val="00C4224D"/>
    <w:rsid w:val="00C47646"/>
    <w:rsid w:val="00C65693"/>
    <w:rsid w:val="00C841FA"/>
    <w:rsid w:val="00CE271C"/>
    <w:rsid w:val="00CE3C8F"/>
    <w:rsid w:val="00CF0D38"/>
    <w:rsid w:val="00CF6345"/>
    <w:rsid w:val="00D20CE8"/>
    <w:rsid w:val="00D51624"/>
    <w:rsid w:val="00D6445B"/>
    <w:rsid w:val="00D85C79"/>
    <w:rsid w:val="00D96565"/>
    <w:rsid w:val="00DA04EB"/>
    <w:rsid w:val="00DC0C51"/>
    <w:rsid w:val="00DF42A9"/>
    <w:rsid w:val="00E673AA"/>
    <w:rsid w:val="00E67BED"/>
    <w:rsid w:val="00E746B7"/>
    <w:rsid w:val="00EE280F"/>
    <w:rsid w:val="00F9674B"/>
    <w:rsid w:val="00FA6864"/>
    <w:rsid w:val="00FE02E1"/>
    <w:rsid w:val="00FF1F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E445A-EB96-498B-8D0F-08E4D03A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E02E1"/>
    <w:pPr>
      <w:ind w:left="720"/>
      <w:contextualSpacing/>
    </w:pPr>
  </w:style>
  <w:style w:type="character" w:customStyle="1" w:styleId="PrrafodelistaCar">
    <w:name w:val="Párrafo de lista Car"/>
    <w:basedOn w:val="Fuentedeprrafopredeter"/>
    <w:link w:val="Prrafodelista"/>
    <w:uiPriority w:val="34"/>
    <w:locked/>
    <w:rsid w:val="00FE02E1"/>
  </w:style>
  <w:style w:type="paragraph" w:styleId="Textoindependiente">
    <w:name w:val="Body Text"/>
    <w:basedOn w:val="Normal"/>
    <w:link w:val="TextoindependienteCar"/>
    <w:rsid w:val="00FE02E1"/>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TextoindependienteCar">
    <w:name w:val="Texto independiente Car"/>
    <w:basedOn w:val="Fuentedeprrafopredeter"/>
    <w:link w:val="Textoindependiente"/>
    <w:rsid w:val="00FE02E1"/>
    <w:rPr>
      <w:rFonts w:ascii="Courier New" w:eastAsia="Times New Roman" w:hAnsi="Courier New" w:cs="Times New Roman"/>
      <w:sz w:val="24"/>
      <w:szCs w:val="20"/>
      <w:lang w:val="es-ES_tradnl" w:eastAsia="es-ES"/>
    </w:rPr>
  </w:style>
  <w:style w:type="paragraph" w:styleId="NormalWeb">
    <w:name w:val="Normal (Web)"/>
    <w:basedOn w:val="Normal"/>
    <w:unhideWhenUsed/>
    <w:rsid w:val="00FE02E1"/>
    <w:pPr>
      <w:spacing w:before="100" w:beforeAutospacing="1" w:after="100" w:afterAutospacing="1" w:line="240" w:lineRule="auto"/>
    </w:pPr>
    <w:rPr>
      <w:rFonts w:ascii="Arial" w:eastAsia="Times New Roman" w:hAnsi="Arial" w:cs="Arial"/>
      <w:color w:val="1C2B45"/>
      <w:sz w:val="18"/>
      <w:szCs w:val="18"/>
      <w:lang w:val="es-ES" w:eastAsia="es-ES"/>
    </w:rPr>
  </w:style>
  <w:style w:type="table" w:styleId="Tablaconcuadrcula">
    <w:name w:val="Table Grid"/>
    <w:basedOn w:val="Tablanormal"/>
    <w:uiPriority w:val="59"/>
    <w:rsid w:val="00521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Footnote Text Char Char Char,Footnote Text.SES,Footnote Text Char Char Char Char Char,Footnote reference,FA Fu,poznppMV,Testo nota a piè di pagina Carattere Carattere Carattere Carattere,ft"/>
    <w:basedOn w:val="Normal"/>
    <w:link w:val="TextonotapieCar"/>
    <w:uiPriority w:val="99"/>
    <w:unhideWhenUsed/>
    <w:rsid w:val="00AF6F86"/>
    <w:pPr>
      <w:spacing w:after="0" w:line="240" w:lineRule="auto"/>
    </w:pPr>
    <w:rPr>
      <w:rFonts w:eastAsiaTheme="minorEastAsia"/>
      <w:sz w:val="16"/>
      <w:szCs w:val="20"/>
      <w:lang w:val="es-ES"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poznppMV Car,ft Car"/>
    <w:basedOn w:val="Fuentedeprrafopredeter"/>
    <w:link w:val="Textonotapie"/>
    <w:uiPriority w:val="99"/>
    <w:rsid w:val="00AF6F86"/>
    <w:rPr>
      <w:rFonts w:eastAsiaTheme="minorEastAsia"/>
      <w:sz w:val="16"/>
      <w:szCs w:val="20"/>
      <w:lang w:val="es-ES" w:eastAsia="es-ES"/>
    </w:rPr>
  </w:style>
  <w:style w:type="character" w:styleId="Refdenotaalpie">
    <w:name w:val="footnote reference"/>
    <w:aliases w:val="Footnote Reference.SES,16 Point,Superscript 6 Point,Superscript 6 Point + 11 ...,Ref,de nota al pie,Footnotes refss,referencia nota al pie,BVI fnr,Appel note de bas de page,Footnote number,Footnote symbol,Footnote,f,4_G"/>
    <w:basedOn w:val="Fuentedeprrafopredeter"/>
    <w:uiPriority w:val="99"/>
    <w:unhideWhenUsed/>
    <w:rsid w:val="00AF6F86"/>
    <w:rPr>
      <w:vertAlign w:val="superscript"/>
    </w:rPr>
  </w:style>
  <w:style w:type="paragraph" w:customStyle="1" w:styleId="Estilo3">
    <w:name w:val="Estilo3"/>
    <w:basedOn w:val="Normal"/>
    <w:qFormat/>
    <w:rsid w:val="00AF6F86"/>
    <w:pPr>
      <w:numPr>
        <w:numId w:val="1"/>
      </w:numPr>
      <w:spacing w:before="120" w:after="120" w:line="480" w:lineRule="auto"/>
    </w:pPr>
    <w:rPr>
      <w:rFonts w:eastAsiaTheme="minorEastAsia"/>
      <w:b/>
      <w:sz w:val="20"/>
      <w:lang w:eastAsia="zh-TW"/>
    </w:rPr>
  </w:style>
  <w:style w:type="paragraph" w:customStyle="1" w:styleId="Ttulo4">
    <w:name w:val="Título4"/>
    <w:basedOn w:val="Prrafodelista"/>
    <w:qFormat/>
    <w:rsid w:val="00AF6F86"/>
    <w:pPr>
      <w:numPr>
        <w:ilvl w:val="1"/>
        <w:numId w:val="1"/>
      </w:numPr>
      <w:autoSpaceDE w:val="0"/>
      <w:autoSpaceDN w:val="0"/>
      <w:adjustRightInd w:val="0"/>
      <w:spacing w:before="120" w:after="120" w:line="240" w:lineRule="auto"/>
      <w:jc w:val="both"/>
    </w:pPr>
    <w:rPr>
      <w:rFonts w:eastAsiaTheme="minorEastAsia" w:cs="Arial"/>
      <w:b/>
      <w:sz w:val="20"/>
      <w:szCs w:val="20"/>
      <w:lang w:eastAsia="es-CL"/>
    </w:rPr>
  </w:style>
  <w:style w:type="paragraph" w:customStyle="1" w:styleId="indicacin">
    <w:name w:val="indicación"/>
    <w:basedOn w:val="Normal"/>
    <w:rsid w:val="00AF6F86"/>
    <w:pPr>
      <w:tabs>
        <w:tab w:val="left" w:pos="1418"/>
      </w:tabs>
      <w:autoSpaceDE w:val="0"/>
      <w:autoSpaceDN w:val="0"/>
      <w:spacing w:after="0" w:line="240" w:lineRule="auto"/>
      <w:ind w:left="709" w:hanging="709"/>
      <w:jc w:val="both"/>
    </w:pPr>
    <w:rPr>
      <w:rFonts w:ascii="Times New Roman" w:eastAsia="Times New Roman" w:hAnsi="Times New Roman" w:cs="Times New Roman"/>
      <w:sz w:val="20"/>
      <w:szCs w:val="24"/>
      <w:lang w:val="es-ES_tradnl" w:eastAsia="es-ES"/>
    </w:rPr>
  </w:style>
  <w:style w:type="character" w:customStyle="1" w:styleId="apple-converted-space">
    <w:name w:val="apple-converted-space"/>
    <w:rsid w:val="00AF6F86"/>
  </w:style>
  <w:style w:type="paragraph" w:customStyle="1" w:styleId="Normal1">
    <w:name w:val="Normal1"/>
    <w:rsid w:val="00271214"/>
    <w:pPr>
      <w:widowControl w:val="0"/>
    </w:pPr>
    <w:rPr>
      <w:rFonts w:ascii="Calibri" w:eastAsia="Calibri" w:hAnsi="Calibri" w:cs="Calibri"/>
      <w:color w:val="000000"/>
      <w:szCs w:val="20"/>
      <w:lang w:eastAsia="es-CL"/>
    </w:rPr>
  </w:style>
  <w:style w:type="character" w:styleId="Hipervnculo">
    <w:name w:val="Hyperlink"/>
    <w:rsid w:val="00B96557"/>
    <w:rPr>
      <w:color w:val="0000FF"/>
      <w:u w:val="single"/>
    </w:rPr>
  </w:style>
  <w:style w:type="paragraph" w:styleId="Textodeglobo">
    <w:name w:val="Balloon Text"/>
    <w:basedOn w:val="Normal"/>
    <w:link w:val="TextodegloboCar"/>
    <w:uiPriority w:val="99"/>
    <w:semiHidden/>
    <w:unhideWhenUsed/>
    <w:rsid w:val="005775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506"/>
    <w:rPr>
      <w:rFonts w:ascii="Tahoma" w:hAnsi="Tahoma" w:cs="Tahoma"/>
      <w:sz w:val="16"/>
      <w:szCs w:val="16"/>
    </w:rPr>
  </w:style>
  <w:style w:type="paragraph" w:customStyle="1" w:styleId="Standard">
    <w:name w:val="Standard"/>
    <w:rsid w:val="002B0FCC"/>
    <w:pPr>
      <w:suppressAutoHyphens/>
      <w:overflowPunct w:val="0"/>
      <w:autoSpaceDE w:val="0"/>
      <w:autoSpaceDN w:val="0"/>
      <w:textAlignment w:val="baseline"/>
    </w:pPr>
    <w:rPr>
      <w:rFonts w:ascii="Calibri" w:eastAsia="Calibri" w:hAnsi="Calibri" w:cs="Calibri"/>
      <w:color w:val="000000"/>
      <w:kern w:val="3"/>
      <w:lang w:eastAsia="es-CL"/>
    </w:rPr>
  </w:style>
  <w:style w:type="paragraph" w:styleId="Encabezado">
    <w:name w:val="header"/>
    <w:basedOn w:val="Normal"/>
    <w:link w:val="EncabezadoCar"/>
    <w:uiPriority w:val="99"/>
    <w:unhideWhenUsed/>
    <w:rsid w:val="0056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F66"/>
  </w:style>
  <w:style w:type="paragraph" w:styleId="Piedepgina">
    <w:name w:val="footer"/>
    <w:basedOn w:val="Normal"/>
    <w:link w:val="PiedepginaCar"/>
    <w:uiPriority w:val="99"/>
    <w:unhideWhenUsed/>
    <w:rsid w:val="0056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jalliende</dc:creator>
  <cp:lastModifiedBy>Miguel Landeros Perkic</cp:lastModifiedBy>
  <cp:revision>2</cp:revision>
  <cp:lastPrinted>2015-08-10T20:26:00Z</cp:lastPrinted>
  <dcterms:created xsi:type="dcterms:W3CDTF">2015-08-18T11:59:00Z</dcterms:created>
  <dcterms:modified xsi:type="dcterms:W3CDTF">2015-08-18T11:59:00Z</dcterms:modified>
</cp:coreProperties>
</file>